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9ACCE" w14:textId="5E0223F9" w:rsidR="008D2D3D" w:rsidRPr="004C5B8E" w:rsidRDefault="00987602" w:rsidP="008D2D3D">
      <w:pPr>
        <w:spacing w:line="360" w:lineRule="auto"/>
        <w:jc w:val="center"/>
        <w:rPr>
          <w:rFonts w:cs="Arial"/>
          <w:b/>
        </w:rPr>
      </w:pPr>
      <w:r>
        <w:rPr>
          <w:noProof/>
        </w:rPr>
        <w:drawing>
          <wp:anchor distT="0" distB="0" distL="114300" distR="114300" simplePos="0" relativeHeight="251658242" behindDoc="0" locked="0" layoutInCell="1" allowOverlap="1" wp14:anchorId="7EC2391F" wp14:editId="0CB8996B">
            <wp:simplePos x="0" y="0"/>
            <wp:positionH relativeFrom="column">
              <wp:posOffset>2993551</wp:posOffset>
            </wp:positionH>
            <wp:positionV relativeFrom="paragraph">
              <wp:posOffset>-457617</wp:posOffset>
            </wp:positionV>
            <wp:extent cx="2824480" cy="6032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4480" cy="603250"/>
                    </a:xfrm>
                    <a:prstGeom prst="rect">
                      <a:avLst/>
                    </a:prstGeom>
                    <a:noFill/>
                    <a:ln>
                      <a:noFill/>
                    </a:ln>
                  </pic:spPr>
                </pic:pic>
              </a:graphicData>
            </a:graphic>
          </wp:anchor>
        </w:drawing>
      </w:r>
      <w:r>
        <w:rPr>
          <w:noProof/>
        </w:rPr>
        <w:drawing>
          <wp:anchor distT="0" distB="0" distL="114300" distR="114300" simplePos="0" relativeHeight="251658241" behindDoc="0" locked="0" layoutInCell="1" allowOverlap="1" wp14:anchorId="4F97A62B" wp14:editId="325B4D0D">
            <wp:simplePos x="0" y="0"/>
            <wp:positionH relativeFrom="column">
              <wp:posOffset>-179525</wp:posOffset>
            </wp:positionH>
            <wp:positionV relativeFrom="paragraph">
              <wp:posOffset>-600653</wp:posOffset>
            </wp:positionV>
            <wp:extent cx="2533650" cy="844550"/>
            <wp:effectExtent l="0" t="0" r="0" b="0"/>
            <wp:wrapNone/>
            <wp:docPr id="1" name="Picture 1" descr="R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RA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3650" cy="844550"/>
                    </a:xfrm>
                    <a:prstGeom prst="rect">
                      <a:avLst/>
                    </a:prstGeom>
                    <a:noFill/>
                    <a:ln>
                      <a:noFill/>
                    </a:ln>
                  </pic:spPr>
                </pic:pic>
              </a:graphicData>
            </a:graphic>
          </wp:anchor>
        </w:drawing>
      </w:r>
    </w:p>
    <w:p w14:paraId="12873008" w14:textId="2E6A6CAC" w:rsidR="008D2D3D" w:rsidRPr="004C5B8E" w:rsidRDefault="008D2D3D" w:rsidP="008D2D3D">
      <w:pPr>
        <w:spacing w:line="360" w:lineRule="auto"/>
        <w:jc w:val="center"/>
        <w:rPr>
          <w:rFonts w:cs="Arial"/>
          <w:b/>
          <w:lang w:val="en-GB"/>
        </w:rPr>
      </w:pPr>
    </w:p>
    <w:p w14:paraId="674A6A89" w14:textId="132AE485" w:rsidR="008D2D3D" w:rsidRDefault="008D2D3D" w:rsidP="008D2D3D">
      <w:pPr>
        <w:spacing w:line="360" w:lineRule="auto"/>
        <w:jc w:val="center"/>
        <w:rPr>
          <w:rFonts w:cs="Arial"/>
          <w:b/>
          <w:lang w:val="en-GB"/>
        </w:rPr>
      </w:pPr>
    </w:p>
    <w:p w14:paraId="6F8D8CB8" w14:textId="30579558" w:rsidR="00987602" w:rsidRDefault="00987602" w:rsidP="008D2D3D">
      <w:pPr>
        <w:spacing w:line="360" w:lineRule="auto"/>
        <w:jc w:val="center"/>
        <w:rPr>
          <w:rFonts w:cs="Arial"/>
          <w:b/>
          <w:lang w:val="en-GB"/>
        </w:rPr>
      </w:pPr>
    </w:p>
    <w:p w14:paraId="2B090F50" w14:textId="159D2856" w:rsidR="00987602" w:rsidRDefault="00987602" w:rsidP="008D2D3D">
      <w:pPr>
        <w:spacing w:line="360" w:lineRule="auto"/>
        <w:jc w:val="center"/>
        <w:rPr>
          <w:rFonts w:cs="Arial"/>
          <w:b/>
          <w:lang w:val="en-GB"/>
        </w:rPr>
      </w:pPr>
    </w:p>
    <w:p w14:paraId="49212E87" w14:textId="77777777" w:rsidR="00987602" w:rsidRPr="004C5B8E" w:rsidRDefault="00987602" w:rsidP="008D2D3D">
      <w:pPr>
        <w:spacing w:line="360" w:lineRule="auto"/>
        <w:jc w:val="center"/>
        <w:rPr>
          <w:rFonts w:cs="Arial"/>
          <w:b/>
          <w:lang w:val="en-GB"/>
        </w:rPr>
      </w:pPr>
    </w:p>
    <w:p w14:paraId="2CE5FC7C" w14:textId="458AB846" w:rsidR="008D2D3D" w:rsidRPr="004C5B8E" w:rsidRDefault="008D2D3D" w:rsidP="008D2D3D">
      <w:pPr>
        <w:spacing w:line="360" w:lineRule="auto"/>
        <w:jc w:val="center"/>
        <w:rPr>
          <w:rFonts w:cs="Arial"/>
          <w:b/>
          <w:lang w:val="en-GB"/>
        </w:rPr>
      </w:pPr>
    </w:p>
    <w:p w14:paraId="0E13FE69" w14:textId="120A2F0A" w:rsidR="008D2D3D" w:rsidRPr="004C5B8E" w:rsidRDefault="008D2D3D" w:rsidP="008D2D3D">
      <w:pPr>
        <w:spacing w:line="360" w:lineRule="auto"/>
        <w:jc w:val="center"/>
        <w:rPr>
          <w:rFonts w:cs="Arial"/>
          <w:b/>
          <w:lang w:val="en-GB"/>
        </w:rPr>
      </w:pPr>
    </w:p>
    <w:p w14:paraId="7A0E5257" w14:textId="1F5B71E6" w:rsidR="001904ED" w:rsidRPr="001904ED" w:rsidRDefault="00904928" w:rsidP="001904ED">
      <w:pPr>
        <w:pStyle w:val="Title"/>
        <w:spacing w:after="0"/>
        <w:rPr>
          <w:rFonts w:ascii="Arial" w:hAnsi="Arial" w:cs="Arial"/>
        </w:rPr>
      </w:pPr>
      <w:r w:rsidRPr="001904ED">
        <w:rPr>
          <w:rFonts w:ascii="Arial" w:hAnsi="Arial" w:cs="Arial"/>
          <w:caps/>
        </w:rPr>
        <w:t>Code d</w:t>
      </w:r>
      <w:r w:rsidR="001904ED" w:rsidRPr="001904ED">
        <w:rPr>
          <w:rFonts w:ascii="Arial" w:hAnsi="Arial" w:cs="Arial"/>
          <w:caps/>
        </w:rPr>
        <w:t>U</w:t>
      </w:r>
      <w:r w:rsidRPr="001904ED">
        <w:rPr>
          <w:rFonts w:ascii="Arial" w:hAnsi="Arial" w:cs="Arial"/>
          <w:caps/>
        </w:rPr>
        <w:t xml:space="preserve"> réseau régional de la</w:t>
      </w:r>
      <w:r w:rsidR="001904ED" w:rsidRPr="001904ED">
        <w:rPr>
          <w:rFonts w:ascii="Arial" w:hAnsi="Arial" w:cs="Arial"/>
          <w:caps/>
        </w:rPr>
        <w:t xml:space="preserve"> </w:t>
      </w:r>
      <w:r w:rsidR="001904ED" w:rsidRPr="001904ED">
        <w:rPr>
          <w:rFonts w:ascii="Arial" w:hAnsi="Arial" w:cs="Arial"/>
          <w:caps/>
        </w:rPr>
        <w:t>SADC</w:t>
      </w:r>
    </w:p>
    <w:p w14:paraId="1D6926F9" w14:textId="1279C294" w:rsidR="00F20F59" w:rsidRPr="00980B05" w:rsidRDefault="00F20F59" w:rsidP="002C1606">
      <w:pPr>
        <w:pStyle w:val="Title1"/>
      </w:pPr>
    </w:p>
    <w:p w14:paraId="6608D334" w14:textId="597BC1CC" w:rsidR="00F20F59" w:rsidRPr="00980B05" w:rsidRDefault="00F20F59" w:rsidP="00F20F59">
      <w:pPr>
        <w:rPr>
          <w:lang w:val="en-GB"/>
        </w:rPr>
      </w:pPr>
    </w:p>
    <w:p w14:paraId="7B9B6D4B" w14:textId="77777777" w:rsidR="00F20F59" w:rsidRPr="00980B05" w:rsidRDefault="00F20F59" w:rsidP="00F20F59">
      <w:pPr>
        <w:rPr>
          <w:lang w:val="en-GB"/>
        </w:rPr>
      </w:pPr>
    </w:p>
    <w:p w14:paraId="14BCDCAC" w14:textId="6FA9E303" w:rsidR="009F375B" w:rsidRPr="00987602" w:rsidRDefault="008817C5" w:rsidP="00F20F59">
      <w:pPr>
        <w:pStyle w:val="Title2"/>
        <w:rPr>
          <w:i w:val="0"/>
          <w:iCs/>
        </w:rPr>
      </w:pPr>
      <w:r>
        <w:rPr>
          <w:i w:val="0"/>
          <w:iCs/>
        </w:rPr>
        <w:t>Préambule (ébauche)</w:t>
      </w:r>
    </w:p>
    <w:p w14:paraId="2C6A60DE" w14:textId="4B7C82BE" w:rsidR="009F375B" w:rsidRPr="00980B05" w:rsidRDefault="009F375B">
      <w:pPr>
        <w:rPr>
          <w:lang w:val="en-GB"/>
        </w:rPr>
      </w:pPr>
    </w:p>
    <w:p w14:paraId="0812E8D6" w14:textId="283BE2DB" w:rsidR="009F375B" w:rsidRPr="00980B05" w:rsidRDefault="00D24E83">
      <w:r>
        <w:t xml:space="preserve">       </w:t>
      </w:r>
    </w:p>
    <w:p w14:paraId="587B1875" w14:textId="33A29071" w:rsidR="009F375B" w:rsidRPr="00980B05" w:rsidRDefault="009F375B">
      <w:pPr>
        <w:rPr>
          <w:lang w:val="en-GB"/>
        </w:rPr>
      </w:pPr>
    </w:p>
    <w:p w14:paraId="05661B9F" w14:textId="42C795AC" w:rsidR="00276801" w:rsidRPr="002C09C1" w:rsidRDefault="00C25D48" w:rsidP="00F20F59">
      <w:pPr>
        <w:pStyle w:val="Title3"/>
      </w:pPr>
      <w:r>
        <w:t>Documents de code [1] of [9]</w:t>
      </w:r>
    </w:p>
    <w:p w14:paraId="393E5171" w14:textId="304CF16E" w:rsidR="00276801" w:rsidRPr="002C09C1" w:rsidRDefault="00276801" w:rsidP="00F20F59">
      <w:pPr>
        <w:pStyle w:val="Title3"/>
        <w:rPr>
          <w:lang w:val="fr-BE"/>
        </w:rPr>
      </w:pPr>
    </w:p>
    <w:p w14:paraId="26C73C1C" w14:textId="7DC5B555" w:rsidR="009F375B" w:rsidRPr="002C09C1" w:rsidRDefault="00A31871" w:rsidP="00F20F59">
      <w:pPr>
        <w:pStyle w:val="Title3"/>
      </w:pPr>
      <w:r>
        <w:t>Version 0.9</w:t>
      </w:r>
    </w:p>
    <w:p w14:paraId="4459D2C4" w14:textId="6EC89B2F" w:rsidR="009F375B" w:rsidRPr="002C09C1" w:rsidRDefault="009F375B">
      <w:pPr>
        <w:rPr>
          <w:lang w:val="fr-BE"/>
        </w:rPr>
      </w:pPr>
    </w:p>
    <w:p w14:paraId="44F785D1" w14:textId="05BE6FB0" w:rsidR="009F375B" w:rsidRPr="002C09C1" w:rsidRDefault="00C25D48" w:rsidP="00F20F59">
      <w:pPr>
        <w:pStyle w:val="Title3"/>
      </w:pPr>
      <w:r>
        <w:t>(février 2022)</w:t>
      </w:r>
    </w:p>
    <w:p w14:paraId="66D569E1" w14:textId="7184BD3F" w:rsidR="006F29D1" w:rsidRPr="002C09C1" w:rsidRDefault="00D66DAB">
      <w:r>
        <w:t xml:space="preserve">  </w:t>
      </w:r>
    </w:p>
    <w:p w14:paraId="244BDD78" w14:textId="0803ED2F" w:rsidR="006F29D1" w:rsidRPr="002C09C1" w:rsidRDefault="00C2263D">
      <w:r>
        <w:t xml:space="preserve">    </w:t>
      </w:r>
    </w:p>
    <w:p w14:paraId="0D7BFA52" w14:textId="790B1499" w:rsidR="00F20F59" w:rsidRPr="002C09C1" w:rsidRDefault="00F20F59">
      <w:pPr>
        <w:rPr>
          <w:lang w:val="fr-BE"/>
        </w:rPr>
      </w:pPr>
    </w:p>
    <w:p w14:paraId="683ED854" w14:textId="7BF81C49" w:rsidR="00F20F59" w:rsidRPr="002C09C1" w:rsidRDefault="00F20F59">
      <w:pPr>
        <w:rPr>
          <w:lang w:val="fr-BE"/>
        </w:rPr>
      </w:pPr>
    </w:p>
    <w:p w14:paraId="4DFE05BA" w14:textId="131A6A86" w:rsidR="00F20F59" w:rsidRPr="002C09C1" w:rsidRDefault="00004697" w:rsidP="00C51E19">
      <w:r>
        <w:rPr>
          <w:noProof/>
        </w:rPr>
        <mc:AlternateContent>
          <mc:Choice Requires="wps">
            <w:drawing>
              <wp:anchor distT="0" distB="0" distL="114300" distR="114300" simplePos="0" relativeHeight="251658240" behindDoc="0" locked="0" layoutInCell="1" allowOverlap="1" wp14:anchorId="510B687C" wp14:editId="68CD5C29">
                <wp:simplePos x="0" y="0"/>
                <wp:positionH relativeFrom="column">
                  <wp:posOffset>1724025</wp:posOffset>
                </wp:positionH>
                <wp:positionV relativeFrom="paragraph">
                  <wp:posOffset>8890</wp:posOffset>
                </wp:positionV>
                <wp:extent cx="2352675" cy="11049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675" cy="1104900"/>
                        </a:xfrm>
                        <a:prstGeom prst="rect">
                          <a:avLst/>
                        </a:prstGeom>
                        <a:ln>
                          <a:solidFill>
                            <a:schemeClr val="accent6"/>
                          </a:solidFill>
                        </a:ln>
                      </wps:spPr>
                      <wps:style>
                        <a:lnRef idx="2">
                          <a:schemeClr val="accent6"/>
                        </a:lnRef>
                        <a:fillRef idx="1">
                          <a:schemeClr val="lt1"/>
                        </a:fillRef>
                        <a:effectRef idx="0">
                          <a:schemeClr val="accent6"/>
                        </a:effectRef>
                        <a:fontRef idx="minor">
                          <a:schemeClr val="dk1"/>
                        </a:fontRef>
                      </wps:style>
                      <wps:txbx>
                        <w:txbxContent>
                          <w:p w14:paraId="220392B7" w14:textId="1F780681" w:rsidR="00BC37DC" w:rsidRPr="002C09C1" w:rsidRDefault="00BC37DC" w:rsidP="00004697">
                            <w:pPr>
                              <w:jc w:val="center"/>
                            </w:pPr>
                            <w:r>
                              <w:t>Pour plus d’information:</w:t>
                            </w:r>
                            <w:r>
                              <w:br/>
                              <w:t xml:space="preserve">RERA (SARERA), </w:t>
                            </w:r>
                          </w:p>
                          <w:p w14:paraId="358E6FCD" w14:textId="70E77B76" w:rsidR="00BC37DC" w:rsidRPr="002C09C1" w:rsidRDefault="001904ED" w:rsidP="00004697">
                            <w:pPr>
                              <w:jc w:val="center"/>
                            </w:pPr>
                            <w:r>
                              <w:t>Téléphone</w:t>
                            </w:r>
                            <w:r w:rsidR="00BC37DC">
                              <w:t xml:space="preserve">: </w:t>
                            </w:r>
                          </w:p>
                          <w:p w14:paraId="3463EC0E" w14:textId="056618F3" w:rsidR="00BC37DC" w:rsidRPr="002C09C1" w:rsidRDefault="00BC37DC" w:rsidP="00004697">
                            <w:pPr>
                              <w:jc w:val="center"/>
                            </w:pPr>
                            <w:r>
                              <w:t>Courriel: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0B687C" id="Rectangle 2" o:spid="_x0000_s1026" style="position:absolute;left:0;text-align:left;margin-left:135.75pt;margin-top:.7pt;width:185.25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" fillcolor="white [3201]" strokecolor="#f79646 [3209]" strokeweight="2pt">
                <v:path arrowok="t"/>
                <v:textbox>
                  <w:txbxContent>
                    <w:p w14:paraId="220392B7" w14:textId="1F780681" w:rsidR="00BC37DC" w:rsidRPr="002C09C1" w:rsidRDefault="00BC37DC" w:rsidP="00004697">
                      <w:pPr>
                        <w:jc w:val="center"/>
                      </w:pPr>
                      <w:r>
                        <w:t>Pour plus d’information:</w:t>
                      </w:r>
                      <w:r>
                        <w:br/>
                        <w:t xml:space="preserve">RERA (SARERA), </w:t>
                      </w:r>
                    </w:p>
                    <w:p w14:paraId="358E6FCD" w14:textId="70E77B76" w:rsidR="00BC37DC" w:rsidRPr="002C09C1" w:rsidRDefault="001904ED" w:rsidP="00004697">
                      <w:pPr>
                        <w:jc w:val="center"/>
                      </w:pPr>
                      <w:r>
                        <w:t>Téléphone</w:t>
                      </w:r>
                      <w:r w:rsidR="00BC37DC">
                        <w:t xml:space="preserve">: </w:t>
                      </w:r>
                    </w:p>
                    <w:p w14:paraId="3463EC0E" w14:textId="056618F3" w:rsidR="00BC37DC" w:rsidRPr="002C09C1" w:rsidRDefault="00BC37DC" w:rsidP="00004697">
                      <w:pPr>
                        <w:jc w:val="center"/>
                      </w:pPr>
                      <w:r>
                        <w:t>Courriel:</w:t>
                      </w:r>
                    </w:p>
                  </w:txbxContent>
                </v:textbox>
              </v:rect>
            </w:pict>
          </mc:Fallback>
        </mc:AlternateContent>
      </w:r>
    </w:p>
    <w:p w14:paraId="252E8A09" w14:textId="5E167686" w:rsidR="00F20F59" w:rsidRPr="002C09C1" w:rsidRDefault="00F20F59">
      <w:pPr>
        <w:rPr>
          <w:lang w:val="fr-BE"/>
        </w:rPr>
      </w:pPr>
    </w:p>
    <w:p w14:paraId="05725078" w14:textId="4111A0D3" w:rsidR="00F20F59" w:rsidRPr="002C09C1" w:rsidRDefault="00F20F59">
      <w:pPr>
        <w:rPr>
          <w:lang w:val="fr-BE"/>
        </w:rPr>
      </w:pPr>
    </w:p>
    <w:p w14:paraId="0D85ACDE" w14:textId="30F5C532" w:rsidR="00F20F59" w:rsidRPr="002C09C1" w:rsidRDefault="00F20F59">
      <w:pPr>
        <w:rPr>
          <w:lang w:val="fr-BE"/>
        </w:rPr>
      </w:pPr>
    </w:p>
    <w:p w14:paraId="5C4566A3" w14:textId="115DB837" w:rsidR="00F20F59" w:rsidRPr="002C09C1" w:rsidRDefault="00F20F59">
      <w:pPr>
        <w:rPr>
          <w:lang w:val="fr-BE"/>
        </w:rPr>
      </w:pPr>
    </w:p>
    <w:p w14:paraId="6D7F5893" w14:textId="3882768D" w:rsidR="00F20F59" w:rsidRPr="002C09C1" w:rsidRDefault="00F20F59">
      <w:pPr>
        <w:rPr>
          <w:lang w:val="fr-BE"/>
        </w:rPr>
      </w:pPr>
    </w:p>
    <w:p w14:paraId="4975E5AE" w14:textId="11C7A578" w:rsidR="009F375B" w:rsidRPr="002C09C1" w:rsidRDefault="009F375B">
      <w:pPr>
        <w:rPr>
          <w:lang w:val="fr-BE"/>
        </w:rPr>
      </w:pPr>
    </w:p>
    <w:p w14:paraId="2400E2D9" w14:textId="380B6E73" w:rsidR="00004697" w:rsidRPr="002C09C1" w:rsidRDefault="00004697" w:rsidP="00004697">
      <w:pPr>
        <w:rPr>
          <w:lang w:val="fr-BE"/>
        </w:rPr>
      </w:pPr>
    </w:p>
    <w:p w14:paraId="4AF91BCD" w14:textId="77F87A3F" w:rsidR="009F375B" w:rsidRPr="002C09C1" w:rsidRDefault="009F375B">
      <w:pPr>
        <w:rPr>
          <w:lang w:val="fr-BE"/>
        </w:rPr>
      </w:pPr>
    </w:p>
    <w:p w14:paraId="31B36B6C" w14:textId="5333F105" w:rsidR="00A31871" w:rsidRPr="002C09C1" w:rsidRDefault="009F375B" w:rsidP="00666549">
      <w:r>
        <w:br w:type="page"/>
      </w:r>
    </w:p>
    <w:p w14:paraId="337D863C" w14:textId="74007EAE" w:rsidR="002D41F0" w:rsidRDefault="002D41F0" w:rsidP="002D41F0">
      <w:pPr>
        <w:spacing w:line="360" w:lineRule="auto"/>
      </w:pPr>
      <w:r>
        <w:lastRenderedPageBreak/>
        <w:t>Contrôle de version</w:t>
      </w:r>
    </w:p>
    <w:p w14:paraId="719369AF" w14:textId="3D5A2BF3" w:rsidR="002D41F0" w:rsidRDefault="002D41F0" w:rsidP="002D41F0">
      <w:pPr>
        <w:spacing w:line="360" w:lineRule="auto"/>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28"/>
        <w:gridCol w:w="4550"/>
        <w:gridCol w:w="2064"/>
      </w:tblGrid>
      <w:tr w:rsidR="002D41F0" w:rsidRPr="00A75FBB" w14:paraId="235687B7" w14:textId="77777777" w:rsidTr="00C300CF">
        <w:trPr>
          <w:trHeight w:val="576"/>
        </w:trPr>
        <w:tc>
          <w:tcPr>
            <w:tcW w:w="8856" w:type="dxa"/>
            <w:gridSpan w:val="3"/>
            <w:tcBorders>
              <w:top w:val="double" w:sz="4" w:space="0" w:color="auto"/>
              <w:left w:val="double" w:sz="4" w:space="0" w:color="auto"/>
              <w:right w:val="double" w:sz="4" w:space="0" w:color="auto"/>
            </w:tcBorders>
          </w:tcPr>
          <w:p w14:paraId="3F4A6020" w14:textId="16D81626" w:rsidR="002D41F0" w:rsidRPr="00A75FBB" w:rsidRDefault="00987602" w:rsidP="002D41F0">
            <w:pPr>
              <w:jc w:val="center"/>
            </w:pPr>
            <w:r>
              <w:rPr>
                <w:noProof/>
              </w:rPr>
              <w:drawing>
                <wp:anchor distT="0" distB="0" distL="114300" distR="114300" simplePos="0" relativeHeight="251658244" behindDoc="0" locked="0" layoutInCell="1" allowOverlap="1" wp14:anchorId="776C9EED" wp14:editId="7D66B3A8">
                  <wp:simplePos x="0" y="0"/>
                  <wp:positionH relativeFrom="column">
                    <wp:posOffset>2915920</wp:posOffset>
                  </wp:positionH>
                  <wp:positionV relativeFrom="paragraph">
                    <wp:posOffset>105751</wp:posOffset>
                  </wp:positionV>
                  <wp:extent cx="2428695" cy="51871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8695" cy="5187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6B31F611" wp14:editId="4C6298FC">
                  <wp:simplePos x="0" y="0"/>
                  <wp:positionH relativeFrom="column">
                    <wp:posOffset>-5080</wp:posOffset>
                  </wp:positionH>
                  <wp:positionV relativeFrom="paragraph">
                    <wp:posOffset>58420</wp:posOffset>
                  </wp:positionV>
                  <wp:extent cx="1849120" cy="615950"/>
                  <wp:effectExtent l="0" t="0" r="0" b="0"/>
                  <wp:wrapTopAndBottom/>
                  <wp:docPr id="5" name="Picture 5" descr="R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RA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912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D41F0" w:rsidRPr="00A75FBB" w14:paraId="52530A33" w14:textId="77777777" w:rsidTr="00C300CF">
        <w:trPr>
          <w:trHeight w:val="576"/>
        </w:trPr>
        <w:tc>
          <w:tcPr>
            <w:tcW w:w="2065" w:type="dxa"/>
            <w:tcBorders>
              <w:top w:val="double" w:sz="4" w:space="0" w:color="auto"/>
              <w:left w:val="double" w:sz="4" w:space="0" w:color="auto"/>
            </w:tcBorders>
          </w:tcPr>
          <w:p w14:paraId="49A13406" w14:textId="77777777" w:rsidR="002D41F0" w:rsidRPr="00A75FBB" w:rsidRDefault="002D41F0" w:rsidP="00C300CF">
            <w:r>
              <w:t>Document #</w:t>
            </w:r>
          </w:p>
          <w:p w14:paraId="48559B07" w14:textId="77777777" w:rsidR="002D41F0" w:rsidRPr="00A75FBB" w:rsidRDefault="002D41F0" w:rsidP="00C300CF">
            <w:pPr>
              <w:rPr>
                <w:b/>
              </w:rPr>
            </w:pPr>
          </w:p>
        </w:tc>
        <w:tc>
          <w:tcPr>
            <w:tcW w:w="4703" w:type="dxa"/>
            <w:tcBorders>
              <w:top w:val="double" w:sz="4" w:space="0" w:color="auto"/>
            </w:tcBorders>
          </w:tcPr>
          <w:p w14:paraId="17293503" w14:textId="5A1AB221" w:rsidR="002D41F0" w:rsidRPr="00A75FBB" w:rsidRDefault="002D41F0" w:rsidP="00C300CF">
            <w:pPr>
              <w:tabs>
                <w:tab w:val="left" w:pos="3235"/>
              </w:tabs>
              <w:ind w:left="720" w:hanging="720"/>
              <w:rPr>
                <w:b/>
                <w:sz w:val="28"/>
              </w:rPr>
            </w:pPr>
            <w:r>
              <w:t>Titre</w:t>
            </w:r>
            <w:r>
              <w:rPr>
                <w:sz w:val="28"/>
              </w:rPr>
              <w:tab/>
            </w:r>
          </w:p>
          <w:p w14:paraId="22E362EC" w14:textId="4F0C2058" w:rsidR="002D41F0" w:rsidRPr="004C0E79" w:rsidRDefault="00987602" w:rsidP="00C300CF">
            <w:pPr>
              <w:tabs>
                <w:tab w:val="left" w:pos="3235"/>
              </w:tabs>
              <w:ind w:left="5" w:hanging="5"/>
              <w:rPr>
                <w:b/>
              </w:rPr>
            </w:pPr>
            <w:r>
              <w:rPr>
                <w:b/>
              </w:rPr>
              <w:t>Code d</w:t>
            </w:r>
            <w:r w:rsidR="001904ED">
              <w:rPr>
                <w:b/>
              </w:rPr>
              <w:t>u</w:t>
            </w:r>
            <w:r>
              <w:rPr>
                <w:b/>
              </w:rPr>
              <w:t xml:space="preserve"> réseau régional de la SADC</w:t>
            </w:r>
          </w:p>
          <w:p w14:paraId="0856BF5F" w14:textId="34035709" w:rsidR="002D41F0" w:rsidRPr="00A75FBB" w:rsidRDefault="008817C5" w:rsidP="00C300CF">
            <w:pPr>
              <w:tabs>
                <w:tab w:val="left" w:pos="3235"/>
              </w:tabs>
              <w:ind w:left="5" w:hanging="5"/>
              <w:rPr>
                <w:b/>
              </w:rPr>
            </w:pPr>
            <w:r>
              <w:rPr>
                <w:b/>
              </w:rPr>
              <w:t>Préambule</w:t>
            </w:r>
          </w:p>
        </w:tc>
        <w:tc>
          <w:tcPr>
            <w:tcW w:w="2088" w:type="dxa"/>
            <w:tcBorders>
              <w:top w:val="double" w:sz="4" w:space="0" w:color="auto"/>
              <w:right w:val="double" w:sz="4" w:space="0" w:color="auto"/>
            </w:tcBorders>
          </w:tcPr>
          <w:p w14:paraId="02F84581" w14:textId="77777777" w:rsidR="002D41F0" w:rsidRPr="00A75FBB" w:rsidRDefault="002D41F0" w:rsidP="00C300CF">
            <w:r>
              <w:t>Date d’impression:</w:t>
            </w:r>
          </w:p>
          <w:p w14:paraId="098F1CDD" w14:textId="77777777" w:rsidR="002D41F0" w:rsidRPr="00A75FBB" w:rsidRDefault="002D41F0" w:rsidP="00C300CF">
            <w:pPr>
              <w:rPr>
                <w:b/>
              </w:rPr>
            </w:pPr>
            <w:r>
              <w:rPr>
                <w:b/>
              </w:rPr>
              <w:t>[Date]</w:t>
            </w:r>
          </w:p>
        </w:tc>
      </w:tr>
      <w:tr w:rsidR="002D41F0" w:rsidRPr="00A75FBB" w14:paraId="4F11CAF2" w14:textId="77777777" w:rsidTr="00C300CF">
        <w:trPr>
          <w:trHeight w:val="432"/>
        </w:trPr>
        <w:tc>
          <w:tcPr>
            <w:tcW w:w="2065" w:type="dxa"/>
            <w:tcBorders>
              <w:left w:val="double" w:sz="4" w:space="0" w:color="auto"/>
            </w:tcBorders>
          </w:tcPr>
          <w:p w14:paraId="56BB3509" w14:textId="77777777" w:rsidR="002D41F0" w:rsidRPr="00A75FBB" w:rsidRDefault="002D41F0" w:rsidP="00C300CF">
            <w:r>
              <w:t>Révision #</w:t>
            </w:r>
          </w:p>
          <w:p w14:paraId="66EE881D" w14:textId="3375C134" w:rsidR="002D41F0" w:rsidRPr="00A75FBB" w:rsidRDefault="002D41F0" w:rsidP="002D41F0">
            <w:pPr>
              <w:rPr>
                <w:b/>
              </w:rPr>
            </w:pPr>
            <w:r>
              <w:rPr>
                <w:b/>
              </w:rPr>
              <w:t>Ébauche 0.9</w:t>
            </w:r>
          </w:p>
        </w:tc>
        <w:tc>
          <w:tcPr>
            <w:tcW w:w="4703" w:type="dxa"/>
          </w:tcPr>
          <w:p w14:paraId="67E8A550" w14:textId="77777777" w:rsidR="002D41F0" w:rsidRPr="009E7129" w:rsidRDefault="002D41F0" w:rsidP="00C300CF">
            <w:pPr>
              <w:pStyle w:val="EnvelopeReturn"/>
              <w:spacing w:after="0"/>
              <w:rPr>
                <w:rFonts w:cs="Arial"/>
              </w:rPr>
            </w:pPr>
            <w:r>
              <w:t>Élaboré par :</w:t>
            </w:r>
          </w:p>
          <w:p w14:paraId="05EC2BD2" w14:textId="4781B24B" w:rsidR="00C25D48" w:rsidRDefault="008E1DCB" w:rsidP="00C300CF">
            <w:pPr>
              <w:pStyle w:val="EnvelopeReturn"/>
              <w:spacing w:after="0"/>
              <w:rPr>
                <w:rFonts w:cs="Arial"/>
                <w:b/>
              </w:rPr>
            </w:pPr>
            <w:proofErr w:type="spellStart"/>
            <w:r>
              <w:rPr>
                <w:b/>
              </w:rPr>
              <w:t>Sepideh</w:t>
            </w:r>
            <w:proofErr w:type="spellEnd"/>
            <w:r>
              <w:rPr>
                <w:b/>
              </w:rPr>
              <w:t xml:space="preserve"> </w:t>
            </w:r>
            <w:proofErr w:type="spellStart"/>
            <w:r>
              <w:rPr>
                <w:b/>
              </w:rPr>
              <w:t>Kiarsi</w:t>
            </w:r>
            <w:proofErr w:type="spellEnd"/>
          </w:p>
          <w:p w14:paraId="631AD3AA" w14:textId="0D36AF35" w:rsidR="002D41F0" w:rsidRPr="00A75FBB" w:rsidRDefault="00704889" w:rsidP="00C300CF">
            <w:pPr>
              <w:pStyle w:val="EnvelopeReturn"/>
              <w:spacing w:after="0"/>
              <w:rPr>
                <w:rFonts w:ascii="Times New Roman" w:hAnsi="Times New Roman"/>
                <w:b/>
              </w:rPr>
            </w:pPr>
            <w:r>
              <w:rPr>
                <w:b/>
              </w:rPr>
              <w:t xml:space="preserve">Ricardo Energy &amp; </w:t>
            </w:r>
            <w:proofErr w:type="spellStart"/>
            <w:r>
              <w:rPr>
                <w:b/>
              </w:rPr>
              <w:t>Environment</w:t>
            </w:r>
            <w:proofErr w:type="spellEnd"/>
          </w:p>
        </w:tc>
        <w:tc>
          <w:tcPr>
            <w:tcW w:w="2088" w:type="dxa"/>
            <w:tcBorders>
              <w:right w:val="double" w:sz="4" w:space="0" w:color="auto"/>
            </w:tcBorders>
          </w:tcPr>
          <w:p w14:paraId="1737064A" w14:textId="77777777" w:rsidR="002D41F0" w:rsidRDefault="002D41F0" w:rsidP="00C300CF">
            <w:r>
              <w:t xml:space="preserve">Date d’élaboration: </w:t>
            </w:r>
          </w:p>
          <w:p w14:paraId="34F8FD14" w14:textId="55A1CF3F" w:rsidR="002D41F0" w:rsidRPr="00A75FBB" w:rsidRDefault="008E1DCB" w:rsidP="00C300CF">
            <w:r>
              <w:rPr>
                <w:b/>
              </w:rPr>
              <w:t>04/02/2022</w:t>
            </w:r>
          </w:p>
        </w:tc>
      </w:tr>
      <w:tr w:rsidR="002D41F0" w:rsidRPr="00A75FBB" w14:paraId="51A5FAEA" w14:textId="77777777" w:rsidTr="00C300CF">
        <w:trPr>
          <w:trHeight w:val="432"/>
        </w:trPr>
        <w:tc>
          <w:tcPr>
            <w:tcW w:w="2065" w:type="dxa"/>
            <w:tcBorders>
              <w:left w:val="double" w:sz="4" w:space="0" w:color="auto"/>
              <w:bottom w:val="single" w:sz="8" w:space="0" w:color="auto"/>
            </w:tcBorders>
          </w:tcPr>
          <w:p w14:paraId="78A38838" w14:textId="77777777" w:rsidR="002D41F0" w:rsidRPr="00A75FBB" w:rsidRDefault="002D41F0" w:rsidP="00C300CF">
            <w:r>
              <w:t>Date effective:</w:t>
            </w:r>
          </w:p>
          <w:p w14:paraId="34ADB22C" w14:textId="77777777" w:rsidR="002D41F0" w:rsidRPr="00A75FBB" w:rsidRDefault="002D41F0" w:rsidP="00C300CF">
            <w:pPr>
              <w:rPr>
                <w:b/>
              </w:rPr>
            </w:pPr>
            <w:r>
              <w:rPr>
                <w:b/>
              </w:rPr>
              <w:t>[Date]</w:t>
            </w:r>
          </w:p>
        </w:tc>
        <w:tc>
          <w:tcPr>
            <w:tcW w:w="4703" w:type="dxa"/>
            <w:tcBorders>
              <w:bottom w:val="single" w:sz="8" w:space="0" w:color="auto"/>
            </w:tcBorders>
          </w:tcPr>
          <w:p w14:paraId="06991622" w14:textId="47B91165" w:rsidR="002D41F0" w:rsidRDefault="002D41F0" w:rsidP="00C300CF">
            <w:r>
              <w:t>Examiné et révisé par:</w:t>
            </w:r>
          </w:p>
          <w:p w14:paraId="21DD245D" w14:textId="16B431C9" w:rsidR="008E1DCB" w:rsidRPr="002C09C1" w:rsidRDefault="008E1DCB" w:rsidP="00C300CF">
            <w:pPr>
              <w:rPr>
                <w:b/>
                <w:bCs/>
              </w:rPr>
            </w:pPr>
            <w:r>
              <w:rPr>
                <w:b/>
                <w:bCs/>
              </w:rPr>
              <w:t>Claire Newton</w:t>
            </w:r>
          </w:p>
          <w:p w14:paraId="39F2C927" w14:textId="4091CC66" w:rsidR="002D41F0" w:rsidRPr="00A75FBB" w:rsidRDefault="008E1DCB" w:rsidP="00C300CF">
            <w:pPr>
              <w:rPr>
                <w:b/>
              </w:rPr>
            </w:pPr>
            <w:r>
              <w:rPr>
                <w:b/>
              </w:rPr>
              <w:t xml:space="preserve">Ricardo Energy &amp; </w:t>
            </w:r>
            <w:proofErr w:type="spellStart"/>
            <w:r>
              <w:rPr>
                <w:b/>
              </w:rPr>
              <w:t>Environment</w:t>
            </w:r>
            <w:proofErr w:type="spellEnd"/>
          </w:p>
        </w:tc>
        <w:tc>
          <w:tcPr>
            <w:tcW w:w="2088" w:type="dxa"/>
            <w:tcBorders>
              <w:bottom w:val="single" w:sz="8" w:space="0" w:color="auto"/>
              <w:right w:val="double" w:sz="4" w:space="0" w:color="auto"/>
            </w:tcBorders>
          </w:tcPr>
          <w:p w14:paraId="321BBCDA" w14:textId="77777777" w:rsidR="002D41F0" w:rsidRPr="00A75FBB" w:rsidRDefault="002D41F0" w:rsidP="00C300CF">
            <w:r>
              <w:t>Date de révision:</w:t>
            </w:r>
          </w:p>
          <w:p w14:paraId="6D28CF4F" w14:textId="345B43B1" w:rsidR="002D41F0" w:rsidRPr="00A75FBB" w:rsidRDefault="008E1DCB" w:rsidP="00C300CF">
            <w:pPr>
              <w:rPr>
                <w:b/>
              </w:rPr>
            </w:pPr>
            <w:r>
              <w:rPr>
                <w:b/>
              </w:rPr>
              <w:t>11/02/2022</w:t>
            </w:r>
          </w:p>
        </w:tc>
      </w:tr>
      <w:tr w:rsidR="002D41F0" w:rsidRPr="00A75FBB" w14:paraId="12F2EDE4" w14:textId="77777777" w:rsidTr="00C300CF">
        <w:trPr>
          <w:trHeight w:val="432"/>
        </w:trPr>
        <w:tc>
          <w:tcPr>
            <w:tcW w:w="2065" w:type="dxa"/>
            <w:tcBorders>
              <w:left w:val="double" w:sz="4" w:space="0" w:color="auto"/>
              <w:bottom w:val="double" w:sz="4" w:space="0" w:color="auto"/>
            </w:tcBorders>
          </w:tcPr>
          <w:p w14:paraId="6797CE87" w14:textId="77777777" w:rsidR="002D41F0" w:rsidRPr="00A75FBB" w:rsidRDefault="002D41F0" w:rsidP="00C300CF">
            <w:r>
              <w:t>Standard:</w:t>
            </w:r>
          </w:p>
          <w:p w14:paraId="45DB03FC" w14:textId="7B7E3AB7" w:rsidR="002D41F0" w:rsidRPr="00A75FBB" w:rsidRDefault="002D41F0" w:rsidP="00C300CF">
            <w:r>
              <w:rPr>
                <w:b/>
              </w:rPr>
              <w:t>Règlement</w:t>
            </w:r>
          </w:p>
        </w:tc>
        <w:tc>
          <w:tcPr>
            <w:tcW w:w="4703" w:type="dxa"/>
            <w:tcBorders>
              <w:bottom w:val="double" w:sz="4" w:space="0" w:color="auto"/>
            </w:tcBorders>
          </w:tcPr>
          <w:p w14:paraId="7E34A672" w14:textId="77777777" w:rsidR="002D41F0" w:rsidRPr="00A75FBB" w:rsidRDefault="002D41F0" w:rsidP="00C300CF">
            <w:r>
              <w:t>Approuvé par:</w:t>
            </w:r>
          </w:p>
          <w:p w14:paraId="44E263B1" w14:textId="77777777" w:rsidR="002D41F0" w:rsidRPr="00E22EF9" w:rsidRDefault="002D41F0" w:rsidP="00C300CF">
            <w:pPr>
              <w:rPr>
                <w:b/>
              </w:rPr>
            </w:pPr>
            <w:r>
              <w:rPr>
                <w:b/>
              </w:rPr>
              <w:t>[Nom de l’approbateur]</w:t>
            </w:r>
          </w:p>
        </w:tc>
        <w:tc>
          <w:tcPr>
            <w:tcW w:w="2088" w:type="dxa"/>
            <w:tcBorders>
              <w:bottom w:val="double" w:sz="4" w:space="0" w:color="auto"/>
              <w:right w:val="double" w:sz="4" w:space="0" w:color="auto"/>
            </w:tcBorders>
          </w:tcPr>
          <w:p w14:paraId="3C1755F1" w14:textId="77777777" w:rsidR="002D41F0" w:rsidRPr="00A75FBB" w:rsidRDefault="002D41F0" w:rsidP="00C300CF">
            <w:r>
              <w:t>Date d’approbation:</w:t>
            </w:r>
          </w:p>
          <w:p w14:paraId="6648D3D1" w14:textId="77777777" w:rsidR="002D41F0" w:rsidRPr="00A75FBB" w:rsidRDefault="002D41F0" w:rsidP="00C300CF">
            <w:pPr>
              <w:rPr>
                <w:b/>
              </w:rPr>
            </w:pPr>
            <w:r>
              <w:rPr>
                <w:b/>
              </w:rPr>
              <w:t>[Date]</w:t>
            </w:r>
          </w:p>
        </w:tc>
      </w:tr>
    </w:tbl>
    <w:p w14:paraId="0C9D0C10" w14:textId="77777777" w:rsidR="002D41F0" w:rsidRDefault="002D41F0" w:rsidP="002D41F0">
      <w:pPr>
        <w:spacing w:before="240" w:after="240"/>
        <w:ind w:left="1440" w:hanging="1440"/>
        <w:rPr>
          <w:bCs/>
        </w:rPr>
      </w:pPr>
    </w:p>
    <w:p w14:paraId="7FE4792E" w14:textId="0E0F5D01" w:rsidR="002D41F0" w:rsidRDefault="002D41F0" w:rsidP="002D41F0">
      <w:pPr>
        <w:spacing w:line="360" w:lineRule="auto"/>
      </w:pPr>
    </w:p>
    <w:p w14:paraId="1BAD04F2" w14:textId="77777777" w:rsidR="00C25D48" w:rsidRDefault="00C25D48" w:rsidP="00C25D48">
      <w:r>
        <w:t>Modifications depuis la publication [à des fins ultérieures]</w:t>
      </w:r>
    </w:p>
    <w:tbl>
      <w:tblPr>
        <w:tblStyle w:val="Style1"/>
        <w:tblW w:w="0" w:type="auto"/>
        <w:tblLook w:val="04A0" w:firstRow="1" w:lastRow="0" w:firstColumn="1" w:lastColumn="0" w:noHBand="0" w:noVBand="1"/>
      </w:tblPr>
      <w:tblGrid>
        <w:gridCol w:w="1127"/>
        <w:gridCol w:w="1241"/>
        <w:gridCol w:w="6304"/>
      </w:tblGrid>
      <w:tr w:rsidR="00C25D48" w14:paraId="23219018" w14:textId="77777777" w:rsidTr="00DA5B6C">
        <w:tc>
          <w:tcPr>
            <w:tcW w:w="1134" w:type="dxa"/>
          </w:tcPr>
          <w:p w14:paraId="57A369BE" w14:textId="77777777" w:rsidR="00C25D48" w:rsidRPr="003F524B" w:rsidRDefault="00C25D48" w:rsidP="00DA5B6C">
            <w:pPr>
              <w:rPr>
                <w:b/>
                <w:bCs/>
              </w:rPr>
            </w:pPr>
            <w:r>
              <w:rPr>
                <w:b/>
                <w:bCs/>
              </w:rPr>
              <w:t>Version</w:t>
            </w:r>
          </w:p>
        </w:tc>
        <w:tc>
          <w:tcPr>
            <w:tcW w:w="1276" w:type="dxa"/>
          </w:tcPr>
          <w:p w14:paraId="331C6FD9" w14:textId="77777777" w:rsidR="00C25D48" w:rsidRPr="003F524B" w:rsidRDefault="00C25D48" w:rsidP="00DA5B6C">
            <w:pPr>
              <w:rPr>
                <w:b/>
                <w:bCs/>
              </w:rPr>
            </w:pPr>
            <w:r>
              <w:rPr>
                <w:b/>
                <w:bCs/>
              </w:rPr>
              <w:t>Date</w:t>
            </w:r>
          </w:p>
        </w:tc>
        <w:tc>
          <w:tcPr>
            <w:tcW w:w="6606" w:type="dxa"/>
          </w:tcPr>
          <w:p w14:paraId="64FB98CB" w14:textId="77777777" w:rsidR="00C25D48" w:rsidRPr="00C750AE" w:rsidRDefault="00C25D48" w:rsidP="00DA5B6C">
            <w:pPr>
              <w:rPr>
                <w:b/>
                <w:bCs/>
              </w:rPr>
            </w:pPr>
            <w:r>
              <w:rPr>
                <w:b/>
                <w:bCs/>
              </w:rPr>
              <w:t>Amendement</w:t>
            </w:r>
          </w:p>
        </w:tc>
      </w:tr>
      <w:tr w:rsidR="00C25D48" w14:paraId="3B22FC4D" w14:textId="77777777" w:rsidTr="00DA5B6C">
        <w:tc>
          <w:tcPr>
            <w:tcW w:w="1134" w:type="dxa"/>
          </w:tcPr>
          <w:p w14:paraId="59A1B538" w14:textId="77777777" w:rsidR="00C25D48" w:rsidRDefault="00C25D48" w:rsidP="00DA5B6C"/>
        </w:tc>
        <w:tc>
          <w:tcPr>
            <w:tcW w:w="1276" w:type="dxa"/>
          </w:tcPr>
          <w:p w14:paraId="2BB210A5" w14:textId="77777777" w:rsidR="00C25D48" w:rsidRDefault="00C25D48" w:rsidP="00DA5B6C"/>
        </w:tc>
        <w:tc>
          <w:tcPr>
            <w:tcW w:w="6606" w:type="dxa"/>
          </w:tcPr>
          <w:p w14:paraId="6935419C" w14:textId="77777777" w:rsidR="00C25D48" w:rsidRDefault="00C25D48" w:rsidP="00DA5B6C"/>
        </w:tc>
      </w:tr>
      <w:tr w:rsidR="00C25D48" w14:paraId="1CD907D4" w14:textId="77777777" w:rsidTr="00DA5B6C">
        <w:tc>
          <w:tcPr>
            <w:tcW w:w="1134" w:type="dxa"/>
          </w:tcPr>
          <w:p w14:paraId="4835EEC3" w14:textId="77777777" w:rsidR="00C25D48" w:rsidRDefault="00C25D48" w:rsidP="00DA5B6C"/>
        </w:tc>
        <w:tc>
          <w:tcPr>
            <w:tcW w:w="1276" w:type="dxa"/>
          </w:tcPr>
          <w:p w14:paraId="5815920B" w14:textId="77777777" w:rsidR="00C25D48" w:rsidRDefault="00C25D48" w:rsidP="00DA5B6C"/>
        </w:tc>
        <w:tc>
          <w:tcPr>
            <w:tcW w:w="6606" w:type="dxa"/>
          </w:tcPr>
          <w:p w14:paraId="4E909CB7" w14:textId="77777777" w:rsidR="00C25D48" w:rsidRDefault="00C25D48" w:rsidP="00DA5B6C"/>
        </w:tc>
      </w:tr>
      <w:tr w:rsidR="00C25D48" w14:paraId="0882948C" w14:textId="77777777" w:rsidTr="00DA5B6C">
        <w:tc>
          <w:tcPr>
            <w:tcW w:w="1134" w:type="dxa"/>
          </w:tcPr>
          <w:p w14:paraId="4D0E0058" w14:textId="77777777" w:rsidR="00C25D48" w:rsidRDefault="00C25D48" w:rsidP="00DA5B6C"/>
        </w:tc>
        <w:tc>
          <w:tcPr>
            <w:tcW w:w="1276" w:type="dxa"/>
          </w:tcPr>
          <w:p w14:paraId="2D300FE1" w14:textId="77777777" w:rsidR="00C25D48" w:rsidRDefault="00C25D48" w:rsidP="00DA5B6C"/>
        </w:tc>
        <w:tc>
          <w:tcPr>
            <w:tcW w:w="6606" w:type="dxa"/>
          </w:tcPr>
          <w:p w14:paraId="27DDF166" w14:textId="77777777" w:rsidR="00C25D48" w:rsidRDefault="00C25D48" w:rsidP="00DA5B6C"/>
        </w:tc>
      </w:tr>
      <w:tr w:rsidR="00C25D48" w14:paraId="1B97FA0D" w14:textId="77777777" w:rsidTr="00DA5B6C">
        <w:tc>
          <w:tcPr>
            <w:tcW w:w="1134" w:type="dxa"/>
          </w:tcPr>
          <w:p w14:paraId="14898512" w14:textId="77777777" w:rsidR="00C25D48" w:rsidRDefault="00C25D48" w:rsidP="00DA5B6C"/>
        </w:tc>
        <w:tc>
          <w:tcPr>
            <w:tcW w:w="1276" w:type="dxa"/>
          </w:tcPr>
          <w:p w14:paraId="7AC2BE94" w14:textId="77777777" w:rsidR="00C25D48" w:rsidRDefault="00C25D48" w:rsidP="00DA5B6C"/>
        </w:tc>
        <w:tc>
          <w:tcPr>
            <w:tcW w:w="6606" w:type="dxa"/>
          </w:tcPr>
          <w:p w14:paraId="1C163911" w14:textId="77777777" w:rsidR="00C25D48" w:rsidRDefault="00C25D48" w:rsidP="00DA5B6C"/>
        </w:tc>
      </w:tr>
      <w:tr w:rsidR="00C25D48" w14:paraId="386ECE9B" w14:textId="77777777" w:rsidTr="00DA5B6C">
        <w:tc>
          <w:tcPr>
            <w:tcW w:w="1134" w:type="dxa"/>
          </w:tcPr>
          <w:p w14:paraId="30607308" w14:textId="77777777" w:rsidR="00C25D48" w:rsidRDefault="00C25D48" w:rsidP="00DA5B6C"/>
        </w:tc>
        <w:tc>
          <w:tcPr>
            <w:tcW w:w="1276" w:type="dxa"/>
          </w:tcPr>
          <w:p w14:paraId="7F29B71E" w14:textId="77777777" w:rsidR="00C25D48" w:rsidRDefault="00C25D48" w:rsidP="00DA5B6C"/>
        </w:tc>
        <w:tc>
          <w:tcPr>
            <w:tcW w:w="6606" w:type="dxa"/>
          </w:tcPr>
          <w:p w14:paraId="7E630975" w14:textId="77777777" w:rsidR="00C25D48" w:rsidRDefault="00C25D48" w:rsidP="00DA5B6C"/>
        </w:tc>
      </w:tr>
      <w:tr w:rsidR="00C25D48" w14:paraId="23847B1A" w14:textId="77777777" w:rsidTr="00DA5B6C">
        <w:tc>
          <w:tcPr>
            <w:tcW w:w="1134" w:type="dxa"/>
          </w:tcPr>
          <w:p w14:paraId="0DF8E8F4" w14:textId="77777777" w:rsidR="00C25D48" w:rsidRDefault="00C25D48" w:rsidP="00DA5B6C"/>
        </w:tc>
        <w:tc>
          <w:tcPr>
            <w:tcW w:w="1276" w:type="dxa"/>
          </w:tcPr>
          <w:p w14:paraId="210D878C" w14:textId="77777777" w:rsidR="00C25D48" w:rsidRDefault="00C25D48" w:rsidP="00DA5B6C"/>
        </w:tc>
        <w:tc>
          <w:tcPr>
            <w:tcW w:w="6606" w:type="dxa"/>
          </w:tcPr>
          <w:p w14:paraId="1F15D476" w14:textId="77777777" w:rsidR="00C25D48" w:rsidRDefault="00C25D48" w:rsidP="00DA5B6C"/>
        </w:tc>
      </w:tr>
      <w:tr w:rsidR="00C25D48" w14:paraId="47A24DC1" w14:textId="77777777" w:rsidTr="00DA5B6C">
        <w:tc>
          <w:tcPr>
            <w:tcW w:w="1134" w:type="dxa"/>
          </w:tcPr>
          <w:p w14:paraId="2C734BD2" w14:textId="77777777" w:rsidR="00C25D48" w:rsidRDefault="00C25D48" w:rsidP="00DA5B6C"/>
        </w:tc>
        <w:tc>
          <w:tcPr>
            <w:tcW w:w="1276" w:type="dxa"/>
          </w:tcPr>
          <w:p w14:paraId="5E3073AE" w14:textId="77777777" w:rsidR="00C25D48" w:rsidRDefault="00C25D48" w:rsidP="00DA5B6C"/>
        </w:tc>
        <w:tc>
          <w:tcPr>
            <w:tcW w:w="6606" w:type="dxa"/>
          </w:tcPr>
          <w:p w14:paraId="03D2C37D" w14:textId="77777777" w:rsidR="00C25D48" w:rsidRDefault="00C25D48" w:rsidP="00DA5B6C"/>
        </w:tc>
      </w:tr>
    </w:tbl>
    <w:p w14:paraId="388DB98F" w14:textId="77777777" w:rsidR="00C25D48" w:rsidRDefault="00C25D48" w:rsidP="00C25D48"/>
    <w:p w14:paraId="301471A0" w14:textId="77777777" w:rsidR="00C25D48" w:rsidRDefault="00C25D48" w:rsidP="00C25D48">
      <w:r>
        <w:br w:type="page"/>
      </w:r>
    </w:p>
    <w:p w14:paraId="5F0F555C" w14:textId="54ACE5C6" w:rsidR="009F375B" w:rsidRPr="00980B05" w:rsidRDefault="00064DE6" w:rsidP="00666549">
      <w:pPr>
        <w:rPr>
          <w:rStyle w:val="TOCHeading1"/>
        </w:rPr>
      </w:pPr>
      <w:r>
        <w:rPr>
          <w:rStyle w:val="TOCHeading1"/>
        </w:rPr>
        <w:lastRenderedPageBreak/>
        <w:t>Table des matières</w:t>
      </w:r>
    </w:p>
    <w:p w14:paraId="1FBF1D67" w14:textId="50D18CB5" w:rsidR="00C80D0D" w:rsidRDefault="00064DE6">
      <w:pPr>
        <w:pStyle w:val="TOC1"/>
        <w:rPr>
          <w:rFonts w:asciiTheme="minorHAnsi" w:eastAsiaTheme="minorEastAsia" w:hAnsiTheme="minorHAnsi" w:cstheme="minorBidi"/>
          <w:b w:val="0"/>
          <w:bCs w:val="0"/>
          <w:iCs w:val="0"/>
          <w:noProof/>
          <w:sz w:val="22"/>
          <w:szCs w:val="22"/>
          <w:lang w:val="en-NA" w:eastAsia="en-NA"/>
        </w:rPr>
      </w:pPr>
      <w:r w:rsidRPr="00980B05">
        <w:fldChar w:fldCharType="begin"/>
      </w:r>
      <w:r w:rsidRPr="00980B05">
        <w:instrText xml:space="preserve"> TOC \o "1-2" </w:instrText>
      </w:r>
      <w:r w:rsidRPr="00980B05">
        <w:fldChar w:fldCharType="separate"/>
      </w:r>
      <w:r w:rsidR="00C80D0D">
        <w:rPr>
          <w:noProof/>
        </w:rPr>
        <w:t>P1.</w:t>
      </w:r>
      <w:r w:rsidR="00C80D0D">
        <w:rPr>
          <w:rFonts w:asciiTheme="minorHAnsi" w:eastAsiaTheme="minorEastAsia" w:hAnsiTheme="minorHAnsi" w:cstheme="minorBidi"/>
          <w:b w:val="0"/>
          <w:bCs w:val="0"/>
          <w:iCs w:val="0"/>
          <w:noProof/>
          <w:sz w:val="22"/>
          <w:szCs w:val="22"/>
          <w:lang w:val="en-NA" w:eastAsia="en-NA"/>
        </w:rPr>
        <w:tab/>
      </w:r>
      <w:r w:rsidR="00C80D0D">
        <w:rPr>
          <w:noProof/>
        </w:rPr>
        <w:t>Introduction</w:t>
      </w:r>
      <w:r w:rsidR="00C80D0D">
        <w:rPr>
          <w:noProof/>
        </w:rPr>
        <w:tab/>
      </w:r>
      <w:r w:rsidR="00C80D0D">
        <w:rPr>
          <w:noProof/>
        </w:rPr>
        <w:fldChar w:fldCharType="begin"/>
      </w:r>
      <w:r w:rsidR="00C80D0D">
        <w:rPr>
          <w:noProof/>
        </w:rPr>
        <w:instrText xml:space="preserve"> PAGEREF _Toc96711217 \h </w:instrText>
      </w:r>
      <w:r w:rsidR="00C80D0D">
        <w:rPr>
          <w:noProof/>
        </w:rPr>
      </w:r>
      <w:r w:rsidR="00C80D0D">
        <w:rPr>
          <w:noProof/>
        </w:rPr>
        <w:fldChar w:fldCharType="separate"/>
      </w:r>
      <w:r w:rsidR="00C80D0D">
        <w:rPr>
          <w:noProof/>
        </w:rPr>
        <w:t>5</w:t>
      </w:r>
      <w:r w:rsidR="00C80D0D">
        <w:rPr>
          <w:noProof/>
        </w:rPr>
        <w:fldChar w:fldCharType="end"/>
      </w:r>
    </w:p>
    <w:p w14:paraId="01D7B484" w14:textId="133C44DC" w:rsidR="00C80D0D" w:rsidRDefault="00C80D0D">
      <w:pPr>
        <w:pStyle w:val="TOC2"/>
        <w:rPr>
          <w:rFonts w:asciiTheme="minorHAnsi" w:eastAsiaTheme="minorEastAsia" w:hAnsiTheme="minorHAnsi" w:cstheme="minorBidi"/>
          <w:bCs w:val="0"/>
          <w:noProof/>
          <w:snapToGrid/>
          <w:lang w:val="en-NA" w:eastAsia="en-NA"/>
        </w:rPr>
      </w:pPr>
      <w:r>
        <w:rPr>
          <w:noProof/>
        </w:rPr>
        <w:t>P1.1</w:t>
      </w:r>
      <w:r>
        <w:rPr>
          <w:rFonts w:asciiTheme="minorHAnsi" w:eastAsiaTheme="minorEastAsia" w:hAnsiTheme="minorHAnsi" w:cstheme="minorBidi"/>
          <w:bCs w:val="0"/>
          <w:noProof/>
          <w:snapToGrid/>
          <w:lang w:val="en-NA" w:eastAsia="en-NA"/>
        </w:rPr>
        <w:tab/>
      </w:r>
      <w:r>
        <w:rPr>
          <w:noProof/>
        </w:rPr>
        <w:t>Information générale</w:t>
      </w:r>
      <w:r>
        <w:rPr>
          <w:noProof/>
        </w:rPr>
        <w:tab/>
      </w:r>
      <w:r>
        <w:rPr>
          <w:noProof/>
        </w:rPr>
        <w:fldChar w:fldCharType="begin"/>
      </w:r>
      <w:r>
        <w:rPr>
          <w:noProof/>
        </w:rPr>
        <w:instrText xml:space="preserve"> PAGEREF _Toc96711218 \h </w:instrText>
      </w:r>
      <w:r>
        <w:rPr>
          <w:noProof/>
        </w:rPr>
      </w:r>
      <w:r>
        <w:rPr>
          <w:noProof/>
        </w:rPr>
        <w:fldChar w:fldCharType="separate"/>
      </w:r>
      <w:r>
        <w:rPr>
          <w:noProof/>
        </w:rPr>
        <w:t>5</w:t>
      </w:r>
      <w:r>
        <w:rPr>
          <w:noProof/>
        </w:rPr>
        <w:fldChar w:fldCharType="end"/>
      </w:r>
    </w:p>
    <w:p w14:paraId="4B34D2FE" w14:textId="3E326721" w:rsidR="00C80D0D" w:rsidRDefault="00C80D0D">
      <w:pPr>
        <w:pStyle w:val="TOC1"/>
        <w:rPr>
          <w:rFonts w:asciiTheme="minorHAnsi" w:eastAsiaTheme="minorEastAsia" w:hAnsiTheme="minorHAnsi" w:cstheme="minorBidi"/>
          <w:b w:val="0"/>
          <w:bCs w:val="0"/>
          <w:iCs w:val="0"/>
          <w:noProof/>
          <w:sz w:val="22"/>
          <w:szCs w:val="22"/>
          <w:lang w:val="en-NA" w:eastAsia="en-NA"/>
        </w:rPr>
      </w:pPr>
      <w:r>
        <w:rPr>
          <w:noProof/>
        </w:rPr>
        <w:t>P2.</w:t>
      </w:r>
      <w:r>
        <w:rPr>
          <w:rFonts w:asciiTheme="minorHAnsi" w:eastAsiaTheme="minorEastAsia" w:hAnsiTheme="minorHAnsi" w:cstheme="minorBidi"/>
          <w:b w:val="0"/>
          <w:bCs w:val="0"/>
          <w:iCs w:val="0"/>
          <w:noProof/>
          <w:sz w:val="22"/>
          <w:szCs w:val="22"/>
          <w:lang w:val="en-NA" w:eastAsia="en-NA"/>
        </w:rPr>
        <w:tab/>
      </w:r>
      <w:r>
        <w:rPr>
          <w:noProof/>
        </w:rPr>
        <w:t>Le commerce régional de l’électricité dans la région de la SADC</w:t>
      </w:r>
      <w:r>
        <w:rPr>
          <w:noProof/>
        </w:rPr>
        <w:tab/>
      </w:r>
      <w:r>
        <w:rPr>
          <w:noProof/>
        </w:rPr>
        <w:fldChar w:fldCharType="begin"/>
      </w:r>
      <w:r>
        <w:rPr>
          <w:noProof/>
        </w:rPr>
        <w:instrText xml:space="preserve"> PAGEREF _Toc96711219 \h </w:instrText>
      </w:r>
      <w:r>
        <w:rPr>
          <w:noProof/>
        </w:rPr>
      </w:r>
      <w:r>
        <w:rPr>
          <w:noProof/>
        </w:rPr>
        <w:fldChar w:fldCharType="separate"/>
      </w:r>
      <w:r>
        <w:rPr>
          <w:noProof/>
        </w:rPr>
        <w:t>5</w:t>
      </w:r>
      <w:r>
        <w:rPr>
          <w:noProof/>
        </w:rPr>
        <w:fldChar w:fldCharType="end"/>
      </w:r>
    </w:p>
    <w:p w14:paraId="448F261A" w14:textId="629EE20C" w:rsidR="00C80D0D" w:rsidRDefault="00C80D0D">
      <w:pPr>
        <w:pStyle w:val="TOC2"/>
        <w:rPr>
          <w:rFonts w:asciiTheme="minorHAnsi" w:eastAsiaTheme="minorEastAsia" w:hAnsiTheme="minorHAnsi" w:cstheme="minorBidi"/>
          <w:bCs w:val="0"/>
          <w:noProof/>
          <w:snapToGrid/>
          <w:lang w:val="en-NA" w:eastAsia="en-NA"/>
        </w:rPr>
      </w:pPr>
      <w:r>
        <w:rPr>
          <w:noProof/>
        </w:rPr>
        <w:t>P2.1</w:t>
      </w:r>
      <w:r>
        <w:rPr>
          <w:rFonts w:asciiTheme="minorHAnsi" w:eastAsiaTheme="minorEastAsia" w:hAnsiTheme="minorHAnsi" w:cstheme="minorBidi"/>
          <w:bCs w:val="0"/>
          <w:noProof/>
          <w:snapToGrid/>
          <w:lang w:val="en-NA" w:eastAsia="en-NA"/>
        </w:rPr>
        <w:tab/>
      </w:r>
      <w:r>
        <w:rPr>
          <w:noProof/>
        </w:rPr>
        <w:t xml:space="preserve">Contexte de la </w:t>
      </w:r>
      <w:r w:rsidRPr="005D7CFC">
        <w:rPr>
          <w:i/>
          <w:iCs/>
          <w:noProof/>
        </w:rPr>
        <w:t>SADC</w:t>
      </w:r>
      <w:r>
        <w:rPr>
          <w:noProof/>
        </w:rPr>
        <w:tab/>
      </w:r>
      <w:r>
        <w:rPr>
          <w:noProof/>
        </w:rPr>
        <w:fldChar w:fldCharType="begin"/>
      </w:r>
      <w:r>
        <w:rPr>
          <w:noProof/>
        </w:rPr>
        <w:instrText xml:space="preserve"> PAGEREF _Toc96711220 \h </w:instrText>
      </w:r>
      <w:r>
        <w:rPr>
          <w:noProof/>
        </w:rPr>
      </w:r>
      <w:r>
        <w:rPr>
          <w:noProof/>
        </w:rPr>
        <w:fldChar w:fldCharType="separate"/>
      </w:r>
      <w:r>
        <w:rPr>
          <w:noProof/>
        </w:rPr>
        <w:t>5</w:t>
      </w:r>
      <w:r>
        <w:rPr>
          <w:noProof/>
        </w:rPr>
        <w:fldChar w:fldCharType="end"/>
      </w:r>
    </w:p>
    <w:p w14:paraId="42B59D65" w14:textId="6DF9F68F" w:rsidR="00C80D0D" w:rsidRDefault="00C80D0D">
      <w:pPr>
        <w:pStyle w:val="TOC1"/>
        <w:rPr>
          <w:rFonts w:asciiTheme="minorHAnsi" w:eastAsiaTheme="minorEastAsia" w:hAnsiTheme="minorHAnsi" w:cstheme="minorBidi"/>
          <w:b w:val="0"/>
          <w:bCs w:val="0"/>
          <w:iCs w:val="0"/>
          <w:noProof/>
          <w:sz w:val="22"/>
          <w:szCs w:val="22"/>
          <w:lang w:val="en-NA" w:eastAsia="en-NA"/>
        </w:rPr>
      </w:pPr>
      <w:r>
        <w:rPr>
          <w:noProof/>
        </w:rPr>
        <w:t>P3.</w:t>
      </w:r>
      <w:r>
        <w:rPr>
          <w:rFonts w:asciiTheme="minorHAnsi" w:eastAsiaTheme="minorEastAsia" w:hAnsiTheme="minorHAnsi" w:cstheme="minorBidi"/>
          <w:b w:val="0"/>
          <w:bCs w:val="0"/>
          <w:iCs w:val="0"/>
          <w:noProof/>
          <w:sz w:val="22"/>
          <w:szCs w:val="22"/>
          <w:lang w:val="en-NA" w:eastAsia="en-NA"/>
        </w:rPr>
        <w:tab/>
      </w:r>
      <w:r>
        <w:rPr>
          <w:noProof/>
        </w:rPr>
        <w:t>Objectifs du code du réseau régional</w:t>
      </w:r>
      <w:r>
        <w:rPr>
          <w:noProof/>
        </w:rPr>
        <w:tab/>
      </w:r>
      <w:r>
        <w:rPr>
          <w:noProof/>
        </w:rPr>
        <w:fldChar w:fldCharType="begin"/>
      </w:r>
      <w:r>
        <w:rPr>
          <w:noProof/>
        </w:rPr>
        <w:instrText xml:space="preserve"> PAGEREF _Toc96711221 \h </w:instrText>
      </w:r>
      <w:r>
        <w:rPr>
          <w:noProof/>
        </w:rPr>
      </w:r>
      <w:r>
        <w:rPr>
          <w:noProof/>
        </w:rPr>
        <w:fldChar w:fldCharType="separate"/>
      </w:r>
      <w:r>
        <w:rPr>
          <w:noProof/>
        </w:rPr>
        <w:t>6</w:t>
      </w:r>
      <w:r>
        <w:rPr>
          <w:noProof/>
        </w:rPr>
        <w:fldChar w:fldCharType="end"/>
      </w:r>
    </w:p>
    <w:p w14:paraId="4C63FF63" w14:textId="2A002C53" w:rsidR="00C80D0D" w:rsidRDefault="00C80D0D">
      <w:pPr>
        <w:pStyle w:val="TOC1"/>
        <w:rPr>
          <w:rFonts w:asciiTheme="minorHAnsi" w:eastAsiaTheme="minorEastAsia" w:hAnsiTheme="minorHAnsi" w:cstheme="minorBidi"/>
          <w:b w:val="0"/>
          <w:bCs w:val="0"/>
          <w:iCs w:val="0"/>
          <w:noProof/>
          <w:sz w:val="22"/>
          <w:szCs w:val="22"/>
          <w:lang w:val="en-NA" w:eastAsia="en-NA"/>
        </w:rPr>
      </w:pPr>
      <w:r>
        <w:rPr>
          <w:noProof/>
        </w:rPr>
        <w:t>P4.</w:t>
      </w:r>
      <w:r>
        <w:rPr>
          <w:rFonts w:asciiTheme="minorHAnsi" w:eastAsiaTheme="minorEastAsia" w:hAnsiTheme="minorHAnsi" w:cstheme="minorBidi"/>
          <w:b w:val="0"/>
          <w:bCs w:val="0"/>
          <w:iCs w:val="0"/>
          <w:noProof/>
          <w:sz w:val="22"/>
          <w:szCs w:val="22"/>
          <w:lang w:val="en-NA" w:eastAsia="en-NA"/>
        </w:rPr>
        <w:tab/>
      </w:r>
      <w:r>
        <w:rPr>
          <w:noProof/>
        </w:rPr>
        <w:t xml:space="preserve">Structure du </w:t>
      </w:r>
      <w:r w:rsidRPr="005D7CFC">
        <w:rPr>
          <w:i/>
          <w:noProof/>
        </w:rPr>
        <w:t>code du réseau régional</w:t>
      </w:r>
      <w:r>
        <w:rPr>
          <w:noProof/>
        </w:rPr>
        <w:tab/>
      </w:r>
      <w:r>
        <w:rPr>
          <w:noProof/>
        </w:rPr>
        <w:fldChar w:fldCharType="begin"/>
      </w:r>
      <w:r>
        <w:rPr>
          <w:noProof/>
        </w:rPr>
        <w:instrText xml:space="preserve"> PAGEREF _Toc96711222 \h </w:instrText>
      </w:r>
      <w:r>
        <w:rPr>
          <w:noProof/>
        </w:rPr>
      </w:r>
      <w:r>
        <w:rPr>
          <w:noProof/>
        </w:rPr>
        <w:fldChar w:fldCharType="separate"/>
      </w:r>
      <w:r>
        <w:rPr>
          <w:noProof/>
        </w:rPr>
        <w:t>7</w:t>
      </w:r>
      <w:r>
        <w:rPr>
          <w:noProof/>
        </w:rPr>
        <w:fldChar w:fldCharType="end"/>
      </w:r>
    </w:p>
    <w:p w14:paraId="33494EAF" w14:textId="3718D41D" w:rsidR="00C80D0D" w:rsidRDefault="00C80D0D">
      <w:pPr>
        <w:pStyle w:val="TOC2"/>
        <w:rPr>
          <w:rFonts w:asciiTheme="minorHAnsi" w:eastAsiaTheme="minorEastAsia" w:hAnsiTheme="minorHAnsi" w:cstheme="minorBidi"/>
          <w:bCs w:val="0"/>
          <w:noProof/>
          <w:snapToGrid/>
          <w:lang w:val="en-NA" w:eastAsia="en-NA"/>
        </w:rPr>
      </w:pPr>
      <w:r>
        <w:rPr>
          <w:noProof/>
        </w:rPr>
        <w:t>P4.2</w:t>
      </w:r>
      <w:r>
        <w:rPr>
          <w:rFonts w:asciiTheme="minorHAnsi" w:eastAsiaTheme="minorEastAsia" w:hAnsiTheme="minorHAnsi" w:cstheme="minorBidi"/>
          <w:bCs w:val="0"/>
          <w:noProof/>
          <w:snapToGrid/>
          <w:lang w:val="en-NA" w:eastAsia="en-NA"/>
        </w:rPr>
        <w:tab/>
      </w:r>
      <w:r>
        <w:rPr>
          <w:noProof/>
        </w:rPr>
        <w:t>Préambule</w:t>
      </w:r>
      <w:r>
        <w:rPr>
          <w:noProof/>
        </w:rPr>
        <w:tab/>
      </w:r>
      <w:r>
        <w:rPr>
          <w:noProof/>
        </w:rPr>
        <w:fldChar w:fldCharType="begin"/>
      </w:r>
      <w:r>
        <w:rPr>
          <w:noProof/>
        </w:rPr>
        <w:instrText xml:space="preserve"> PAGEREF _Toc96711223 \h </w:instrText>
      </w:r>
      <w:r>
        <w:rPr>
          <w:noProof/>
        </w:rPr>
      </w:r>
      <w:r>
        <w:rPr>
          <w:noProof/>
        </w:rPr>
        <w:fldChar w:fldCharType="separate"/>
      </w:r>
      <w:r>
        <w:rPr>
          <w:noProof/>
        </w:rPr>
        <w:t>7</w:t>
      </w:r>
      <w:r>
        <w:rPr>
          <w:noProof/>
        </w:rPr>
        <w:fldChar w:fldCharType="end"/>
      </w:r>
    </w:p>
    <w:p w14:paraId="1E5C61A0" w14:textId="76F0C944" w:rsidR="00C80D0D" w:rsidRDefault="00C80D0D">
      <w:pPr>
        <w:pStyle w:val="TOC2"/>
        <w:rPr>
          <w:rFonts w:asciiTheme="minorHAnsi" w:eastAsiaTheme="minorEastAsia" w:hAnsiTheme="minorHAnsi" w:cstheme="minorBidi"/>
          <w:bCs w:val="0"/>
          <w:noProof/>
          <w:snapToGrid/>
          <w:lang w:val="en-NA" w:eastAsia="en-NA"/>
        </w:rPr>
      </w:pPr>
      <w:r>
        <w:rPr>
          <w:noProof/>
        </w:rPr>
        <w:t>P4.3</w:t>
      </w:r>
      <w:r>
        <w:rPr>
          <w:rFonts w:asciiTheme="minorHAnsi" w:eastAsiaTheme="minorEastAsia" w:hAnsiTheme="minorHAnsi" w:cstheme="minorBidi"/>
          <w:bCs w:val="0"/>
          <w:noProof/>
          <w:snapToGrid/>
          <w:lang w:val="en-NA" w:eastAsia="en-NA"/>
        </w:rPr>
        <w:tab/>
      </w:r>
      <w:r>
        <w:rPr>
          <w:noProof/>
        </w:rPr>
        <w:t>Conditions générales (CG)</w:t>
      </w:r>
      <w:r>
        <w:rPr>
          <w:noProof/>
        </w:rPr>
        <w:tab/>
      </w:r>
      <w:r>
        <w:rPr>
          <w:noProof/>
        </w:rPr>
        <w:fldChar w:fldCharType="begin"/>
      </w:r>
      <w:r>
        <w:rPr>
          <w:noProof/>
        </w:rPr>
        <w:instrText xml:space="preserve"> PAGEREF _Toc96711224 \h </w:instrText>
      </w:r>
      <w:r>
        <w:rPr>
          <w:noProof/>
        </w:rPr>
      </w:r>
      <w:r>
        <w:rPr>
          <w:noProof/>
        </w:rPr>
        <w:fldChar w:fldCharType="separate"/>
      </w:r>
      <w:r>
        <w:rPr>
          <w:noProof/>
        </w:rPr>
        <w:t>7</w:t>
      </w:r>
      <w:r>
        <w:rPr>
          <w:noProof/>
        </w:rPr>
        <w:fldChar w:fldCharType="end"/>
      </w:r>
    </w:p>
    <w:p w14:paraId="5919E6A1" w14:textId="1AEF79EF" w:rsidR="00C80D0D" w:rsidRDefault="00C80D0D">
      <w:pPr>
        <w:pStyle w:val="TOC2"/>
        <w:rPr>
          <w:rFonts w:asciiTheme="minorHAnsi" w:eastAsiaTheme="minorEastAsia" w:hAnsiTheme="minorHAnsi" w:cstheme="minorBidi"/>
          <w:bCs w:val="0"/>
          <w:noProof/>
          <w:snapToGrid/>
          <w:lang w:val="en-NA" w:eastAsia="en-NA"/>
        </w:rPr>
      </w:pPr>
      <w:r>
        <w:rPr>
          <w:noProof/>
        </w:rPr>
        <w:t>P4.4</w:t>
      </w:r>
      <w:r>
        <w:rPr>
          <w:rFonts w:asciiTheme="minorHAnsi" w:eastAsiaTheme="minorEastAsia" w:hAnsiTheme="minorHAnsi" w:cstheme="minorBidi"/>
          <w:bCs w:val="0"/>
          <w:noProof/>
          <w:snapToGrid/>
          <w:lang w:val="en-NA" w:eastAsia="en-NA"/>
        </w:rPr>
        <w:tab/>
      </w:r>
      <w:r>
        <w:rPr>
          <w:noProof/>
        </w:rPr>
        <w:t>Code de planification (CP)</w:t>
      </w:r>
      <w:r>
        <w:rPr>
          <w:noProof/>
        </w:rPr>
        <w:tab/>
      </w:r>
      <w:r>
        <w:rPr>
          <w:noProof/>
        </w:rPr>
        <w:fldChar w:fldCharType="begin"/>
      </w:r>
      <w:r>
        <w:rPr>
          <w:noProof/>
        </w:rPr>
        <w:instrText xml:space="preserve"> PAGEREF _Toc96711225 \h </w:instrText>
      </w:r>
      <w:r>
        <w:rPr>
          <w:noProof/>
        </w:rPr>
      </w:r>
      <w:r>
        <w:rPr>
          <w:noProof/>
        </w:rPr>
        <w:fldChar w:fldCharType="separate"/>
      </w:r>
      <w:r>
        <w:rPr>
          <w:noProof/>
        </w:rPr>
        <w:t>8</w:t>
      </w:r>
      <w:r>
        <w:rPr>
          <w:noProof/>
        </w:rPr>
        <w:fldChar w:fldCharType="end"/>
      </w:r>
    </w:p>
    <w:p w14:paraId="51B18E78" w14:textId="6E8640D7" w:rsidR="00C80D0D" w:rsidRDefault="00C80D0D">
      <w:pPr>
        <w:pStyle w:val="TOC2"/>
        <w:rPr>
          <w:rFonts w:asciiTheme="minorHAnsi" w:eastAsiaTheme="minorEastAsia" w:hAnsiTheme="minorHAnsi" w:cstheme="minorBidi"/>
          <w:bCs w:val="0"/>
          <w:noProof/>
          <w:snapToGrid/>
          <w:lang w:val="en-NA" w:eastAsia="en-NA"/>
        </w:rPr>
      </w:pPr>
      <w:r>
        <w:rPr>
          <w:noProof/>
        </w:rPr>
        <w:t>P4.5</w:t>
      </w:r>
      <w:r>
        <w:rPr>
          <w:rFonts w:asciiTheme="minorHAnsi" w:eastAsiaTheme="minorEastAsia" w:hAnsiTheme="minorHAnsi" w:cstheme="minorBidi"/>
          <w:bCs w:val="0"/>
          <w:noProof/>
          <w:snapToGrid/>
          <w:lang w:val="en-NA" w:eastAsia="en-NA"/>
        </w:rPr>
        <w:tab/>
      </w:r>
      <w:r>
        <w:rPr>
          <w:noProof/>
        </w:rPr>
        <w:t>Code opérations (y compris le code de formation de l’</w:t>
      </w:r>
      <w:r w:rsidRPr="005D7CFC">
        <w:rPr>
          <w:i/>
          <w:iCs/>
          <w:noProof/>
        </w:rPr>
        <w:t>exploitant du système</w:t>
      </w:r>
      <w:r>
        <w:rPr>
          <w:noProof/>
        </w:rPr>
        <w:t>) (CO)</w:t>
      </w:r>
      <w:r>
        <w:rPr>
          <w:noProof/>
        </w:rPr>
        <w:tab/>
      </w:r>
      <w:r>
        <w:rPr>
          <w:noProof/>
        </w:rPr>
        <w:fldChar w:fldCharType="begin"/>
      </w:r>
      <w:r>
        <w:rPr>
          <w:noProof/>
        </w:rPr>
        <w:instrText xml:space="preserve"> PAGEREF _Toc96711226 \h </w:instrText>
      </w:r>
      <w:r>
        <w:rPr>
          <w:noProof/>
        </w:rPr>
      </w:r>
      <w:r>
        <w:rPr>
          <w:noProof/>
        </w:rPr>
        <w:fldChar w:fldCharType="separate"/>
      </w:r>
      <w:r>
        <w:rPr>
          <w:noProof/>
        </w:rPr>
        <w:t>8</w:t>
      </w:r>
      <w:r>
        <w:rPr>
          <w:noProof/>
        </w:rPr>
        <w:fldChar w:fldCharType="end"/>
      </w:r>
    </w:p>
    <w:p w14:paraId="23B38596" w14:textId="758620DB" w:rsidR="00C80D0D" w:rsidRDefault="00C80D0D">
      <w:pPr>
        <w:pStyle w:val="TOC2"/>
        <w:rPr>
          <w:rFonts w:asciiTheme="minorHAnsi" w:eastAsiaTheme="minorEastAsia" w:hAnsiTheme="minorHAnsi" w:cstheme="minorBidi"/>
          <w:bCs w:val="0"/>
          <w:noProof/>
          <w:snapToGrid/>
          <w:lang w:val="en-NA" w:eastAsia="en-NA"/>
        </w:rPr>
      </w:pPr>
      <w:r>
        <w:rPr>
          <w:noProof/>
        </w:rPr>
        <w:t>P4.6</w:t>
      </w:r>
      <w:r>
        <w:rPr>
          <w:rFonts w:asciiTheme="minorHAnsi" w:eastAsiaTheme="minorEastAsia" w:hAnsiTheme="minorHAnsi" w:cstheme="minorBidi"/>
          <w:bCs w:val="0"/>
          <w:noProof/>
          <w:snapToGrid/>
          <w:lang w:val="en-NA" w:eastAsia="en-NA"/>
        </w:rPr>
        <w:tab/>
      </w:r>
      <w:r>
        <w:rPr>
          <w:noProof/>
        </w:rPr>
        <w:t>Code de connexion (CC)</w:t>
      </w:r>
      <w:r>
        <w:rPr>
          <w:noProof/>
        </w:rPr>
        <w:tab/>
      </w:r>
      <w:r>
        <w:rPr>
          <w:noProof/>
        </w:rPr>
        <w:fldChar w:fldCharType="begin"/>
      </w:r>
      <w:r>
        <w:rPr>
          <w:noProof/>
        </w:rPr>
        <w:instrText xml:space="preserve"> PAGEREF _Toc96711227 \h </w:instrText>
      </w:r>
      <w:r>
        <w:rPr>
          <w:noProof/>
        </w:rPr>
      </w:r>
      <w:r>
        <w:rPr>
          <w:noProof/>
        </w:rPr>
        <w:fldChar w:fldCharType="separate"/>
      </w:r>
      <w:r>
        <w:rPr>
          <w:noProof/>
        </w:rPr>
        <w:t>8</w:t>
      </w:r>
      <w:r>
        <w:rPr>
          <w:noProof/>
        </w:rPr>
        <w:fldChar w:fldCharType="end"/>
      </w:r>
    </w:p>
    <w:p w14:paraId="391885DD" w14:textId="2EE5004B" w:rsidR="00C80D0D" w:rsidRDefault="00C80D0D">
      <w:pPr>
        <w:pStyle w:val="TOC2"/>
        <w:rPr>
          <w:rFonts w:asciiTheme="minorHAnsi" w:eastAsiaTheme="minorEastAsia" w:hAnsiTheme="minorHAnsi" w:cstheme="minorBidi"/>
          <w:bCs w:val="0"/>
          <w:noProof/>
          <w:snapToGrid/>
          <w:lang w:val="en-NA" w:eastAsia="en-NA"/>
        </w:rPr>
      </w:pPr>
      <w:r>
        <w:rPr>
          <w:noProof/>
        </w:rPr>
        <w:t>P4.7</w:t>
      </w:r>
      <w:r>
        <w:rPr>
          <w:rFonts w:asciiTheme="minorHAnsi" w:eastAsiaTheme="minorEastAsia" w:hAnsiTheme="minorHAnsi" w:cstheme="minorBidi"/>
          <w:bCs w:val="0"/>
          <w:noProof/>
          <w:snapToGrid/>
          <w:lang w:val="en-NA" w:eastAsia="en-NA"/>
        </w:rPr>
        <w:tab/>
      </w:r>
      <w:r>
        <w:rPr>
          <w:noProof/>
        </w:rPr>
        <w:t>Code d'échange de renseignements (EC)</w:t>
      </w:r>
      <w:r>
        <w:rPr>
          <w:noProof/>
        </w:rPr>
        <w:tab/>
      </w:r>
      <w:r>
        <w:rPr>
          <w:noProof/>
        </w:rPr>
        <w:fldChar w:fldCharType="begin"/>
      </w:r>
      <w:r>
        <w:rPr>
          <w:noProof/>
        </w:rPr>
        <w:instrText xml:space="preserve"> PAGEREF _Toc96711228 \h </w:instrText>
      </w:r>
      <w:r>
        <w:rPr>
          <w:noProof/>
        </w:rPr>
      </w:r>
      <w:r>
        <w:rPr>
          <w:noProof/>
        </w:rPr>
        <w:fldChar w:fldCharType="separate"/>
      </w:r>
      <w:r>
        <w:rPr>
          <w:noProof/>
        </w:rPr>
        <w:t>8</w:t>
      </w:r>
      <w:r>
        <w:rPr>
          <w:noProof/>
        </w:rPr>
        <w:fldChar w:fldCharType="end"/>
      </w:r>
    </w:p>
    <w:p w14:paraId="7CD435DD" w14:textId="4B2B8E15" w:rsidR="00C80D0D" w:rsidRDefault="00C80D0D">
      <w:pPr>
        <w:pStyle w:val="TOC2"/>
        <w:rPr>
          <w:rFonts w:asciiTheme="minorHAnsi" w:eastAsiaTheme="minorEastAsia" w:hAnsiTheme="minorHAnsi" w:cstheme="minorBidi"/>
          <w:bCs w:val="0"/>
          <w:noProof/>
          <w:snapToGrid/>
          <w:lang w:val="en-NA" w:eastAsia="en-NA"/>
        </w:rPr>
      </w:pPr>
      <w:r>
        <w:rPr>
          <w:noProof/>
        </w:rPr>
        <w:t>P4.8</w:t>
      </w:r>
      <w:r>
        <w:rPr>
          <w:rFonts w:asciiTheme="minorHAnsi" w:eastAsiaTheme="minorEastAsia" w:hAnsiTheme="minorHAnsi" w:cstheme="minorBidi"/>
          <w:bCs w:val="0"/>
          <w:noProof/>
          <w:snapToGrid/>
          <w:lang w:val="en-NA" w:eastAsia="en-NA"/>
        </w:rPr>
        <w:tab/>
      </w:r>
      <w:r>
        <w:rPr>
          <w:noProof/>
        </w:rPr>
        <w:t>Code de mesure de l’électricité (MtC)</w:t>
      </w:r>
      <w:r>
        <w:rPr>
          <w:noProof/>
        </w:rPr>
        <w:tab/>
      </w:r>
      <w:r>
        <w:rPr>
          <w:noProof/>
        </w:rPr>
        <w:fldChar w:fldCharType="begin"/>
      </w:r>
      <w:r>
        <w:rPr>
          <w:noProof/>
        </w:rPr>
        <w:instrText xml:space="preserve"> PAGEREF _Toc96711229 \h </w:instrText>
      </w:r>
      <w:r>
        <w:rPr>
          <w:noProof/>
        </w:rPr>
      </w:r>
      <w:r>
        <w:rPr>
          <w:noProof/>
        </w:rPr>
        <w:fldChar w:fldCharType="separate"/>
      </w:r>
      <w:r>
        <w:rPr>
          <w:noProof/>
        </w:rPr>
        <w:t>8</w:t>
      </w:r>
      <w:r>
        <w:rPr>
          <w:noProof/>
        </w:rPr>
        <w:fldChar w:fldCharType="end"/>
      </w:r>
    </w:p>
    <w:p w14:paraId="74236388" w14:textId="46FC59BA" w:rsidR="00C80D0D" w:rsidRDefault="00C80D0D">
      <w:pPr>
        <w:pStyle w:val="TOC2"/>
        <w:rPr>
          <w:rFonts w:asciiTheme="minorHAnsi" w:eastAsiaTheme="minorEastAsia" w:hAnsiTheme="minorHAnsi" w:cstheme="minorBidi"/>
          <w:bCs w:val="0"/>
          <w:noProof/>
          <w:snapToGrid/>
          <w:lang w:val="en-NA" w:eastAsia="en-NA"/>
        </w:rPr>
      </w:pPr>
      <w:r>
        <w:rPr>
          <w:noProof/>
        </w:rPr>
        <w:t>P4.9</w:t>
      </w:r>
      <w:r>
        <w:rPr>
          <w:rFonts w:asciiTheme="minorHAnsi" w:eastAsiaTheme="minorEastAsia" w:hAnsiTheme="minorHAnsi" w:cstheme="minorBidi"/>
          <w:bCs w:val="0"/>
          <w:noProof/>
          <w:snapToGrid/>
          <w:lang w:val="en-NA" w:eastAsia="en-NA"/>
        </w:rPr>
        <w:tab/>
      </w:r>
      <w:r>
        <w:rPr>
          <w:noProof/>
        </w:rPr>
        <w:t>Code du marché (MrC)</w:t>
      </w:r>
      <w:r>
        <w:rPr>
          <w:noProof/>
        </w:rPr>
        <w:tab/>
      </w:r>
      <w:r>
        <w:rPr>
          <w:noProof/>
        </w:rPr>
        <w:fldChar w:fldCharType="begin"/>
      </w:r>
      <w:r>
        <w:rPr>
          <w:noProof/>
        </w:rPr>
        <w:instrText xml:space="preserve"> PAGEREF _Toc96711230 \h </w:instrText>
      </w:r>
      <w:r>
        <w:rPr>
          <w:noProof/>
        </w:rPr>
      </w:r>
      <w:r>
        <w:rPr>
          <w:noProof/>
        </w:rPr>
        <w:fldChar w:fldCharType="separate"/>
      </w:r>
      <w:r>
        <w:rPr>
          <w:noProof/>
        </w:rPr>
        <w:t>8</w:t>
      </w:r>
      <w:r>
        <w:rPr>
          <w:noProof/>
        </w:rPr>
        <w:fldChar w:fldCharType="end"/>
      </w:r>
    </w:p>
    <w:p w14:paraId="0CAE492D" w14:textId="3265E943" w:rsidR="00C80D0D" w:rsidRDefault="00C80D0D">
      <w:pPr>
        <w:pStyle w:val="TOC1"/>
        <w:rPr>
          <w:rFonts w:asciiTheme="minorHAnsi" w:eastAsiaTheme="minorEastAsia" w:hAnsiTheme="minorHAnsi" w:cstheme="minorBidi"/>
          <w:b w:val="0"/>
          <w:bCs w:val="0"/>
          <w:iCs w:val="0"/>
          <w:noProof/>
          <w:sz w:val="22"/>
          <w:szCs w:val="22"/>
          <w:lang w:val="en-NA" w:eastAsia="en-NA"/>
        </w:rPr>
      </w:pPr>
      <w:r>
        <w:rPr>
          <w:noProof/>
        </w:rPr>
        <w:t>P5.</w:t>
      </w:r>
      <w:r>
        <w:rPr>
          <w:rFonts w:asciiTheme="minorHAnsi" w:eastAsiaTheme="minorEastAsia" w:hAnsiTheme="minorHAnsi" w:cstheme="minorBidi"/>
          <w:b w:val="0"/>
          <w:bCs w:val="0"/>
          <w:iCs w:val="0"/>
          <w:noProof/>
          <w:sz w:val="22"/>
          <w:szCs w:val="22"/>
          <w:lang w:val="en-NA" w:eastAsia="en-NA"/>
        </w:rPr>
        <w:tab/>
      </w:r>
      <w:r>
        <w:rPr>
          <w:noProof/>
        </w:rPr>
        <w:t xml:space="preserve">Langues du </w:t>
      </w:r>
      <w:r w:rsidRPr="005D7CFC">
        <w:rPr>
          <w:i/>
          <w:noProof/>
        </w:rPr>
        <w:t>code du réseau régional</w:t>
      </w:r>
      <w:r>
        <w:rPr>
          <w:noProof/>
        </w:rPr>
        <w:tab/>
      </w:r>
      <w:r>
        <w:rPr>
          <w:noProof/>
        </w:rPr>
        <w:fldChar w:fldCharType="begin"/>
      </w:r>
      <w:r>
        <w:rPr>
          <w:noProof/>
        </w:rPr>
        <w:instrText xml:space="preserve"> PAGEREF _Toc96711231 \h </w:instrText>
      </w:r>
      <w:r>
        <w:rPr>
          <w:noProof/>
        </w:rPr>
      </w:r>
      <w:r>
        <w:rPr>
          <w:noProof/>
        </w:rPr>
        <w:fldChar w:fldCharType="separate"/>
      </w:r>
      <w:r>
        <w:rPr>
          <w:noProof/>
        </w:rPr>
        <w:t>9</w:t>
      </w:r>
      <w:r>
        <w:rPr>
          <w:noProof/>
        </w:rPr>
        <w:fldChar w:fldCharType="end"/>
      </w:r>
    </w:p>
    <w:p w14:paraId="153A0510" w14:textId="59229782" w:rsidR="00C80D0D" w:rsidRDefault="00C80D0D">
      <w:pPr>
        <w:pStyle w:val="TOC1"/>
        <w:rPr>
          <w:rFonts w:asciiTheme="minorHAnsi" w:eastAsiaTheme="minorEastAsia" w:hAnsiTheme="minorHAnsi" w:cstheme="minorBidi"/>
          <w:b w:val="0"/>
          <w:bCs w:val="0"/>
          <w:iCs w:val="0"/>
          <w:noProof/>
          <w:sz w:val="22"/>
          <w:szCs w:val="22"/>
          <w:lang w:val="en-NA" w:eastAsia="en-NA"/>
        </w:rPr>
      </w:pPr>
      <w:r>
        <w:rPr>
          <w:noProof/>
        </w:rPr>
        <w:t>P6.</w:t>
      </w:r>
      <w:r>
        <w:rPr>
          <w:rFonts w:asciiTheme="minorHAnsi" w:eastAsiaTheme="minorEastAsia" w:hAnsiTheme="minorHAnsi" w:cstheme="minorBidi"/>
          <w:b w:val="0"/>
          <w:bCs w:val="0"/>
          <w:iCs w:val="0"/>
          <w:noProof/>
          <w:sz w:val="22"/>
          <w:szCs w:val="22"/>
          <w:lang w:val="en-NA" w:eastAsia="en-NA"/>
        </w:rPr>
        <w:tab/>
      </w:r>
      <w:r>
        <w:rPr>
          <w:noProof/>
        </w:rPr>
        <w:t>Description du cadre institutionnel en vigueur</w:t>
      </w:r>
      <w:r>
        <w:rPr>
          <w:noProof/>
        </w:rPr>
        <w:tab/>
      </w:r>
      <w:r>
        <w:rPr>
          <w:noProof/>
        </w:rPr>
        <w:fldChar w:fldCharType="begin"/>
      </w:r>
      <w:r>
        <w:rPr>
          <w:noProof/>
        </w:rPr>
        <w:instrText xml:space="preserve"> PAGEREF _Toc96711232 \h </w:instrText>
      </w:r>
      <w:r>
        <w:rPr>
          <w:noProof/>
        </w:rPr>
      </w:r>
      <w:r>
        <w:rPr>
          <w:noProof/>
        </w:rPr>
        <w:fldChar w:fldCharType="separate"/>
      </w:r>
      <w:r>
        <w:rPr>
          <w:noProof/>
        </w:rPr>
        <w:t>9</w:t>
      </w:r>
      <w:r>
        <w:rPr>
          <w:noProof/>
        </w:rPr>
        <w:fldChar w:fldCharType="end"/>
      </w:r>
    </w:p>
    <w:p w14:paraId="6DE0F5C0" w14:textId="2BF121B8" w:rsidR="00C80D0D" w:rsidRDefault="00C80D0D">
      <w:pPr>
        <w:pStyle w:val="TOC2"/>
        <w:rPr>
          <w:rFonts w:asciiTheme="minorHAnsi" w:eastAsiaTheme="minorEastAsia" w:hAnsiTheme="minorHAnsi" w:cstheme="minorBidi"/>
          <w:bCs w:val="0"/>
          <w:noProof/>
          <w:snapToGrid/>
          <w:lang w:val="en-NA" w:eastAsia="en-NA"/>
        </w:rPr>
      </w:pPr>
      <w:r>
        <w:rPr>
          <w:noProof/>
        </w:rPr>
        <w:t>P6.1</w:t>
      </w:r>
      <w:r>
        <w:rPr>
          <w:rFonts w:asciiTheme="minorHAnsi" w:eastAsiaTheme="minorEastAsia" w:hAnsiTheme="minorHAnsi" w:cstheme="minorBidi"/>
          <w:bCs w:val="0"/>
          <w:noProof/>
          <w:snapToGrid/>
          <w:lang w:val="en-NA" w:eastAsia="en-NA"/>
        </w:rPr>
        <w:tab/>
      </w:r>
      <w:r>
        <w:rPr>
          <w:noProof/>
        </w:rPr>
        <w:t xml:space="preserve">La </w:t>
      </w:r>
      <w:r w:rsidRPr="005D7CFC">
        <w:rPr>
          <w:i/>
          <w:iCs/>
          <w:noProof/>
        </w:rPr>
        <w:t>Communauté de développement de l'Afrique Australe (SADC)</w:t>
      </w:r>
      <w:r>
        <w:rPr>
          <w:noProof/>
        </w:rPr>
        <w:tab/>
      </w:r>
      <w:r>
        <w:rPr>
          <w:noProof/>
        </w:rPr>
        <w:fldChar w:fldCharType="begin"/>
      </w:r>
      <w:r>
        <w:rPr>
          <w:noProof/>
        </w:rPr>
        <w:instrText xml:space="preserve"> PAGEREF _Toc96711233 \h </w:instrText>
      </w:r>
      <w:r>
        <w:rPr>
          <w:noProof/>
        </w:rPr>
      </w:r>
      <w:r>
        <w:rPr>
          <w:noProof/>
        </w:rPr>
        <w:fldChar w:fldCharType="separate"/>
      </w:r>
      <w:r>
        <w:rPr>
          <w:noProof/>
        </w:rPr>
        <w:t>9</w:t>
      </w:r>
      <w:r>
        <w:rPr>
          <w:noProof/>
        </w:rPr>
        <w:fldChar w:fldCharType="end"/>
      </w:r>
    </w:p>
    <w:p w14:paraId="6A40B6C4" w14:textId="654F439D" w:rsidR="00C80D0D" w:rsidRDefault="00C80D0D">
      <w:pPr>
        <w:pStyle w:val="TOC2"/>
        <w:rPr>
          <w:rFonts w:asciiTheme="minorHAnsi" w:eastAsiaTheme="minorEastAsia" w:hAnsiTheme="minorHAnsi" w:cstheme="minorBidi"/>
          <w:bCs w:val="0"/>
          <w:noProof/>
          <w:snapToGrid/>
          <w:lang w:val="en-NA" w:eastAsia="en-NA"/>
        </w:rPr>
      </w:pPr>
      <w:r>
        <w:rPr>
          <w:noProof/>
        </w:rPr>
        <w:t>P6.2</w:t>
      </w:r>
      <w:r>
        <w:rPr>
          <w:rFonts w:asciiTheme="minorHAnsi" w:eastAsiaTheme="minorEastAsia" w:hAnsiTheme="minorHAnsi" w:cstheme="minorBidi"/>
          <w:bCs w:val="0"/>
          <w:noProof/>
          <w:snapToGrid/>
          <w:lang w:val="en-NA" w:eastAsia="en-NA"/>
        </w:rPr>
        <w:tab/>
      </w:r>
      <w:r>
        <w:rPr>
          <w:noProof/>
        </w:rPr>
        <w:t>Le Pool Énergétique de l’Afrique australe (SAPP)</w:t>
      </w:r>
      <w:r>
        <w:rPr>
          <w:noProof/>
        </w:rPr>
        <w:tab/>
      </w:r>
      <w:r>
        <w:rPr>
          <w:noProof/>
        </w:rPr>
        <w:fldChar w:fldCharType="begin"/>
      </w:r>
      <w:r>
        <w:rPr>
          <w:noProof/>
        </w:rPr>
        <w:instrText xml:space="preserve"> PAGEREF _Toc96711234 \h </w:instrText>
      </w:r>
      <w:r>
        <w:rPr>
          <w:noProof/>
        </w:rPr>
      </w:r>
      <w:r>
        <w:rPr>
          <w:noProof/>
        </w:rPr>
        <w:fldChar w:fldCharType="separate"/>
      </w:r>
      <w:r>
        <w:rPr>
          <w:noProof/>
        </w:rPr>
        <w:t>9</w:t>
      </w:r>
      <w:r>
        <w:rPr>
          <w:noProof/>
        </w:rPr>
        <w:fldChar w:fldCharType="end"/>
      </w:r>
    </w:p>
    <w:p w14:paraId="4FB06C52" w14:textId="592B6D6E" w:rsidR="00C80D0D" w:rsidRDefault="00C80D0D">
      <w:pPr>
        <w:pStyle w:val="TOC2"/>
        <w:rPr>
          <w:rFonts w:asciiTheme="minorHAnsi" w:eastAsiaTheme="minorEastAsia" w:hAnsiTheme="minorHAnsi" w:cstheme="minorBidi"/>
          <w:bCs w:val="0"/>
          <w:noProof/>
          <w:snapToGrid/>
          <w:lang w:val="en-NA" w:eastAsia="en-NA"/>
        </w:rPr>
      </w:pPr>
      <w:r w:rsidRPr="005D7CFC">
        <w:rPr>
          <w:i/>
          <w:noProof/>
        </w:rPr>
        <w:t>P6.3</w:t>
      </w:r>
      <w:r>
        <w:rPr>
          <w:rFonts w:asciiTheme="minorHAnsi" w:eastAsiaTheme="minorEastAsia" w:hAnsiTheme="minorHAnsi" w:cstheme="minorBidi"/>
          <w:bCs w:val="0"/>
          <w:noProof/>
          <w:snapToGrid/>
          <w:lang w:val="en-NA" w:eastAsia="en-NA"/>
        </w:rPr>
        <w:tab/>
      </w:r>
      <w:r w:rsidRPr="005D7CFC">
        <w:rPr>
          <w:i/>
          <w:noProof/>
        </w:rPr>
        <w:t>L’Association régionale des régulateurs de l'énergie d'Afrique australe (RERA)</w:t>
      </w:r>
      <w:r>
        <w:rPr>
          <w:noProof/>
        </w:rPr>
        <w:tab/>
      </w:r>
      <w:r>
        <w:rPr>
          <w:noProof/>
        </w:rPr>
        <w:fldChar w:fldCharType="begin"/>
      </w:r>
      <w:r>
        <w:rPr>
          <w:noProof/>
        </w:rPr>
        <w:instrText xml:space="preserve"> PAGEREF _Toc96711235 \h </w:instrText>
      </w:r>
      <w:r>
        <w:rPr>
          <w:noProof/>
        </w:rPr>
      </w:r>
      <w:r>
        <w:rPr>
          <w:noProof/>
        </w:rPr>
        <w:fldChar w:fldCharType="separate"/>
      </w:r>
      <w:r>
        <w:rPr>
          <w:noProof/>
        </w:rPr>
        <w:t>11</w:t>
      </w:r>
      <w:r>
        <w:rPr>
          <w:noProof/>
        </w:rPr>
        <w:fldChar w:fldCharType="end"/>
      </w:r>
    </w:p>
    <w:p w14:paraId="3E386DF1" w14:textId="4711604C" w:rsidR="00C80D0D" w:rsidRDefault="00C80D0D">
      <w:pPr>
        <w:pStyle w:val="TOC1"/>
        <w:rPr>
          <w:rFonts w:asciiTheme="minorHAnsi" w:eastAsiaTheme="minorEastAsia" w:hAnsiTheme="minorHAnsi" w:cstheme="minorBidi"/>
          <w:b w:val="0"/>
          <w:bCs w:val="0"/>
          <w:iCs w:val="0"/>
          <w:noProof/>
          <w:sz w:val="22"/>
          <w:szCs w:val="22"/>
          <w:lang w:val="en-NA" w:eastAsia="en-NA"/>
        </w:rPr>
      </w:pPr>
      <w:r>
        <w:rPr>
          <w:noProof/>
        </w:rPr>
        <w:t>P7.</w:t>
      </w:r>
      <w:r>
        <w:rPr>
          <w:rFonts w:asciiTheme="minorHAnsi" w:eastAsiaTheme="minorEastAsia" w:hAnsiTheme="minorHAnsi" w:cstheme="minorBidi"/>
          <w:b w:val="0"/>
          <w:bCs w:val="0"/>
          <w:iCs w:val="0"/>
          <w:noProof/>
          <w:sz w:val="22"/>
          <w:szCs w:val="22"/>
          <w:lang w:val="en-NA" w:eastAsia="en-NA"/>
        </w:rPr>
        <w:tab/>
      </w:r>
      <w:r>
        <w:rPr>
          <w:noProof/>
        </w:rPr>
        <w:t xml:space="preserve">Description des </w:t>
      </w:r>
      <w:r w:rsidRPr="005D7CFC">
        <w:rPr>
          <w:i/>
          <w:noProof/>
        </w:rPr>
        <w:t>systèmes électriques</w:t>
      </w:r>
      <w:r>
        <w:rPr>
          <w:noProof/>
        </w:rPr>
        <w:t xml:space="preserve"> existants</w:t>
      </w:r>
      <w:r>
        <w:rPr>
          <w:noProof/>
        </w:rPr>
        <w:tab/>
      </w:r>
      <w:r>
        <w:rPr>
          <w:noProof/>
        </w:rPr>
        <w:fldChar w:fldCharType="begin"/>
      </w:r>
      <w:r>
        <w:rPr>
          <w:noProof/>
        </w:rPr>
        <w:instrText xml:space="preserve"> PAGEREF _Toc96711236 \h </w:instrText>
      </w:r>
      <w:r>
        <w:rPr>
          <w:noProof/>
        </w:rPr>
      </w:r>
      <w:r>
        <w:rPr>
          <w:noProof/>
        </w:rPr>
        <w:fldChar w:fldCharType="separate"/>
      </w:r>
      <w:r>
        <w:rPr>
          <w:noProof/>
        </w:rPr>
        <w:t>12</w:t>
      </w:r>
      <w:r>
        <w:rPr>
          <w:noProof/>
        </w:rPr>
        <w:fldChar w:fldCharType="end"/>
      </w:r>
    </w:p>
    <w:p w14:paraId="15DE7C76" w14:textId="54998658" w:rsidR="00C80D0D" w:rsidRDefault="00C80D0D">
      <w:pPr>
        <w:pStyle w:val="TOC2"/>
        <w:rPr>
          <w:rFonts w:asciiTheme="minorHAnsi" w:eastAsiaTheme="minorEastAsia" w:hAnsiTheme="minorHAnsi" w:cstheme="minorBidi"/>
          <w:bCs w:val="0"/>
          <w:noProof/>
          <w:snapToGrid/>
          <w:lang w:val="en-NA" w:eastAsia="en-NA"/>
        </w:rPr>
      </w:pPr>
      <w:r>
        <w:rPr>
          <w:noProof/>
        </w:rPr>
        <w:t>P7.1</w:t>
      </w:r>
      <w:r>
        <w:rPr>
          <w:rFonts w:asciiTheme="minorHAnsi" w:eastAsiaTheme="minorEastAsia" w:hAnsiTheme="minorHAnsi" w:cstheme="minorBidi"/>
          <w:bCs w:val="0"/>
          <w:noProof/>
          <w:snapToGrid/>
          <w:lang w:val="en-NA" w:eastAsia="en-NA"/>
        </w:rPr>
        <w:tab/>
      </w:r>
      <w:r>
        <w:rPr>
          <w:noProof/>
        </w:rPr>
        <w:t>Systèmes électriques de la SADC</w:t>
      </w:r>
      <w:r>
        <w:rPr>
          <w:noProof/>
        </w:rPr>
        <w:tab/>
      </w:r>
      <w:r>
        <w:rPr>
          <w:noProof/>
        </w:rPr>
        <w:fldChar w:fldCharType="begin"/>
      </w:r>
      <w:r>
        <w:rPr>
          <w:noProof/>
        </w:rPr>
        <w:instrText xml:space="preserve"> PAGEREF _Toc96711237 \h </w:instrText>
      </w:r>
      <w:r>
        <w:rPr>
          <w:noProof/>
        </w:rPr>
      </w:r>
      <w:r>
        <w:rPr>
          <w:noProof/>
        </w:rPr>
        <w:fldChar w:fldCharType="separate"/>
      </w:r>
      <w:r>
        <w:rPr>
          <w:noProof/>
        </w:rPr>
        <w:t>12</w:t>
      </w:r>
      <w:r>
        <w:rPr>
          <w:noProof/>
        </w:rPr>
        <w:fldChar w:fldCharType="end"/>
      </w:r>
    </w:p>
    <w:p w14:paraId="13598067" w14:textId="0D6AD57B" w:rsidR="00C80D0D" w:rsidRDefault="00C80D0D">
      <w:pPr>
        <w:pStyle w:val="TOC2"/>
        <w:rPr>
          <w:rFonts w:asciiTheme="minorHAnsi" w:eastAsiaTheme="minorEastAsia" w:hAnsiTheme="minorHAnsi" w:cstheme="minorBidi"/>
          <w:bCs w:val="0"/>
          <w:noProof/>
          <w:snapToGrid/>
          <w:lang w:val="en-NA" w:eastAsia="en-NA"/>
        </w:rPr>
      </w:pPr>
      <w:r>
        <w:rPr>
          <w:noProof/>
        </w:rPr>
        <w:t>P7.2</w:t>
      </w:r>
      <w:r>
        <w:rPr>
          <w:rFonts w:asciiTheme="minorHAnsi" w:eastAsiaTheme="minorEastAsia" w:hAnsiTheme="minorHAnsi" w:cstheme="minorBidi"/>
          <w:bCs w:val="0"/>
          <w:noProof/>
          <w:snapToGrid/>
          <w:lang w:val="en-NA" w:eastAsia="en-NA"/>
        </w:rPr>
        <w:tab/>
      </w:r>
      <w:r>
        <w:rPr>
          <w:noProof/>
        </w:rPr>
        <w:t>Tensions de transport</w:t>
      </w:r>
      <w:r>
        <w:rPr>
          <w:noProof/>
        </w:rPr>
        <w:tab/>
      </w:r>
      <w:r>
        <w:rPr>
          <w:noProof/>
        </w:rPr>
        <w:fldChar w:fldCharType="begin"/>
      </w:r>
      <w:r>
        <w:rPr>
          <w:noProof/>
        </w:rPr>
        <w:instrText xml:space="preserve"> PAGEREF _Toc96711238 \h </w:instrText>
      </w:r>
      <w:r>
        <w:rPr>
          <w:noProof/>
        </w:rPr>
      </w:r>
      <w:r>
        <w:rPr>
          <w:noProof/>
        </w:rPr>
        <w:fldChar w:fldCharType="separate"/>
      </w:r>
      <w:r>
        <w:rPr>
          <w:noProof/>
        </w:rPr>
        <w:t>13</w:t>
      </w:r>
      <w:r>
        <w:rPr>
          <w:noProof/>
        </w:rPr>
        <w:fldChar w:fldCharType="end"/>
      </w:r>
    </w:p>
    <w:p w14:paraId="6B9FB879" w14:textId="0BA42C6C" w:rsidR="00C80D0D" w:rsidRDefault="00C80D0D">
      <w:pPr>
        <w:pStyle w:val="TOC2"/>
        <w:rPr>
          <w:rFonts w:asciiTheme="minorHAnsi" w:eastAsiaTheme="minorEastAsia" w:hAnsiTheme="minorHAnsi" w:cstheme="minorBidi"/>
          <w:bCs w:val="0"/>
          <w:noProof/>
          <w:snapToGrid/>
          <w:lang w:val="en-NA" w:eastAsia="en-NA"/>
        </w:rPr>
      </w:pPr>
      <w:r>
        <w:rPr>
          <w:noProof/>
        </w:rPr>
        <w:t>P7.3</w:t>
      </w:r>
      <w:r>
        <w:rPr>
          <w:rFonts w:asciiTheme="minorHAnsi" w:eastAsiaTheme="minorEastAsia" w:hAnsiTheme="minorHAnsi" w:cstheme="minorBidi"/>
          <w:bCs w:val="0"/>
          <w:noProof/>
          <w:snapToGrid/>
          <w:lang w:val="en-NA" w:eastAsia="en-NA"/>
        </w:rPr>
        <w:tab/>
      </w:r>
      <w:r>
        <w:rPr>
          <w:noProof/>
        </w:rPr>
        <w:t>Projets d’intérêt régional</w:t>
      </w:r>
      <w:r>
        <w:rPr>
          <w:noProof/>
        </w:rPr>
        <w:tab/>
      </w:r>
      <w:r>
        <w:rPr>
          <w:noProof/>
        </w:rPr>
        <w:fldChar w:fldCharType="begin"/>
      </w:r>
      <w:r>
        <w:rPr>
          <w:noProof/>
        </w:rPr>
        <w:instrText xml:space="preserve"> PAGEREF _Toc96711239 \h </w:instrText>
      </w:r>
      <w:r>
        <w:rPr>
          <w:noProof/>
        </w:rPr>
      </w:r>
      <w:r>
        <w:rPr>
          <w:noProof/>
        </w:rPr>
        <w:fldChar w:fldCharType="separate"/>
      </w:r>
      <w:r>
        <w:rPr>
          <w:noProof/>
        </w:rPr>
        <w:t>14</w:t>
      </w:r>
      <w:r>
        <w:rPr>
          <w:noProof/>
        </w:rPr>
        <w:fldChar w:fldCharType="end"/>
      </w:r>
    </w:p>
    <w:p w14:paraId="2D79CFB9" w14:textId="6974D79D" w:rsidR="009F375B" w:rsidRPr="00980B05" w:rsidRDefault="00064DE6" w:rsidP="00534B73">
      <w:pPr>
        <w:pStyle w:val="TOC1"/>
      </w:pPr>
      <w:r w:rsidRPr="00980B05">
        <w:fldChar w:fldCharType="end"/>
      </w:r>
    </w:p>
    <w:p w14:paraId="3522A561" w14:textId="77777777" w:rsidR="009F375B" w:rsidRPr="00980B05" w:rsidRDefault="009F375B">
      <w:pPr>
        <w:rPr>
          <w:lang w:val="en-GB"/>
        </w:rPr>
      </w:pPr>
    </w:p>
    <w:p w14:paraId="0D2F446C" w14:textId="77777777" w:rsidR="00431B8B" w:rsidRPr="00980B05" w:rsidRDefault="00431B8B" w:rsidP="00431B8B">
      <w:pPr>
        <w:rPr>
          <w:rStyle w:val="TOCHeading1"/>
        </w:rPr>
      </w:pPr>
      <w:r>
        <w:rPr>
          <w:rStyle w:val="TOCHeading1"/>
        </w:rPr>
        <w:t>Liste des schémas</w:t>
      </w:r>
    </w:p>
    <w:p w14:paraId="386C2BB5" w14:textId="2F64EB9F" w:rsidR="009F1176" w:rsidRDefault="00431B8B">
      <w:pPr>
        <w:pStyle w:val="TableofFigures"/>
        <w:tabs>
          <w:tab w:val="right" w:leader="dot" w:pos="8662"/>
        </w:tabs>
        <w:rPr>
          <w:rFonts w:asciiTheme="minorHAnsi" w:eastAsiaTheme="minorEastAsia" w:hAnsiTheme="minorHAnsi" w:cstheme="minorBidi"/>
          <w:noProof/>
          <w:szCs w:val="22"/>
          <w:lang w:val="en-NA" w:eastAsia="en-NA"/>
        </w:rPr>
      </w:pPr>
      <w:r w:rsidRPr="00980B05">
        <w:fldChar w:fldCharType="begin"/>
      </w:r>
      <w:r w:rsidRPr="00980B05">
        <w:instrText xml:space="preserve"> TOC \c "Figure" </w:instrText>
      </w:r>
      <w:r w:rsidRPr="00980B05">
        <w:fldChar w:fldCharType="separate"/>
      </w:r>
      <w:r w:rsidR="009F1176">
        <w:rPr>
          <w:noProof/>
        </w:rPr>
        <w:t xml:space="preserve">Figure 1. Organigramme et membres du </w:t>
      </w:r>
      <w:r w:rsidR="009F1176" w:rsidRPr="001E5902">
        <w:rPr>
          <w:i/>
          <w:iCs/>
          <w:noProof/>
        </w:rPr>
        <w:t>SAPP</w:t>
      </w:r>
      <w:r w:rsidR="009F1176">
        <w:rPr>
          <w:noProof/>
        </w:rPr>
        <w:t xml:space="preserve"> (source: Rapport Annuel du </w:t>
      </w:r>
      <w:r w:rsidR="009F1176" w:rsidRPr="001E5902">
        <w:rPr>
          <w:i/>
          <w:iCs/>
          <w:noProof/>
        </w:rPr>
        <w:t>SAPP</w:t>
      </w:r>
      <w:r w:rsidR="009F1176">
        <w:rPr>
          <w:noProof/>
        </w:rPr>
        <w:t xml:space="preserve"> de 2020)</w:t>
      </w:r>
      <w:r w:rsidR="009F1176">
        <w:rPr>
          <w:noProof/>
        </w:rPr>
        <w:tab/>
      </w:r>
      <w:r w:rsidR="009F1176">
        <w:rPr>
          <w:noProof/>
        </w:rPr>
        <w:fldChar w:fldCharType="begin"/>
      </w:r>
      <w:r w:rsidR="009F1176">
        <w:rPr>
          <w:noProof/>
        </w:rPr>
        <w:instrText xml:space="preserve"> PAGEREF _Toc96301554 \h </w:instrText>
      </w:r>
      <w:r w:rsidR="009F1176">
        <w:rPr>
          <w:noProof/>
        </w:rPr>
      </w:r>
      <w:r w:rsidR="009F1176">
        <w:rPr>
          <w:noProof/>
        </w:rPr>
        <w:fldChar w:fldCharType="separate"/>
      </w:r>
      <w:r w:rsidR="009F1176">
        <w:rPr>
          <w:noProof/>
        </w:rPr>
        <w:t>11</w:t>
      </w:r>
      <w:r w:rsidR="009F1176">
        <w:rPr>
          <w:noProof/>
        </w:rPr>
        <w:fldChar w:fldCharType="end"/>
      </w:r>
    </w:p>
    <w:p w14:paraId="28D58843" w14:textId="0DFB2E46" w:rsidR="009F1176" w:rsidRDefault="009F1176">
      <w:pPr>
        <w:pStyle w:val="TableofFigures"/>
        <w:tabs>
          <w:tab w:val="right" w:leader="dot" w:pos="8662"/>
        </w:tabs>
        <w:rPr>
          <w:rFonts w:asciiTheme="minorHAnsi" w:eastAsiaTheme="minorEastAsia" w:hAnsiTheme="minorHAnsi" w:cstheme="minorBidi"/>
          <w:noProof/>
          <w:szCs w:val="22"/>
          <w:lang w:val="en-NA" w:eastAsia="en-NA"/>
        </w:rPr>
      </w:pPr>
      <w:r>
        <w:rPr>
          <w:noProof/>
        </w:rPr>
        <w:t xml:space="preserve">Figure 2. Structure de la SARERA conforme aux directives de la </w:t>
      </w:r>
      <w:r w:rsidRPr="001E5902">
        <w:rPr>
          <w:i/>
          <w:iCs/>
          <w:noProof/>
        </w:rPr>
        <w:t>SADC</w:t>
      </w:r>
      <w:r>
        <w:rPr>
          <w:noProof/>
        </w:rPr>
        <w:tab/>
      </w:r>
      <w:r>
        <w:rPr>
          <w:noProof/>
        </w:rPr>
        <w:fldChar w:fldCharType="begin"/>
      </w:r>
      <w:r>
        <w:rPr>
          <w:noProof/>
        </w:rPr>
        <w:instrText xml:space="preserve"> PAGEREF _Toc96301555 \h </w:instrText>
      </w:r>
      <w:r>
        <w:rPr>
          <w:noProof/>
        </w:rPr>
      </w:r>
      <w:r>
        <w:rPr>
          <w:noProof/>
        </w:rPr>
        <w:fldChar w:fldCharType="separate"/>
      </w:r>
      <w:r>
        <w:rPr>
          <w:noProof/>
        </w:rPr>
        <w:t>12</w:t>
      </w:r>
      <w:r>
        <w:rPr>
          <w:noProof/>
        </w:rPr>
        <w:fldChar w:fldCharType="end"/>
      </w:r>
    </w:p>
    <w:p w14:paraId="22D92D16" w14:textId="24E40090" w:rsidR="009F1176" w:rsidRDefault="009F1176">
      <w:pPr>
        <w:pStyle w:val="TableofFigures"/>
        <w:tabs>
          <w:tab w:val="right" w:leader="dot" w:pos="8662"/>
        </w:tabs>
        <w:rPr>
          <w:rFonts w:asciiTheme="minorHAnsi" w:eastAsiaTheme="minorEastAsia" w:hAnsiTheme="minorHAnsi" w:cstheme="minorBidi"/>
          <w:noProof/>
          <w:szCs w:val="22"/>
          <w:lang w:val="en-NA" w:eastAsia="en-NA"/>
        </w:rPr>
      </w:pPr>
      <w:r>
        <w:rPr>
          <w:noProof/>
        </w:rPr>
        <w:t xml:space="preserve">Figure 3. Projets de transport prévus (source: </w:t>
      </w:r>
      <w:r w:rsidRPr="001E5902">
        <w:rPr>
          <w:i/>
          <w:iCs/>
          <w:noProof/>
        </w:rPr>
        <w:t>SAPP</w:t>
      </w:r>
      <w:r>
        <w:rPr>
          <w:noProof/>
        </w:rPr>
        <w:t>)</w:t>
      </w:r>
      <w:r>
        <w:rPr>
          <w:noProof/>
        </w:rPr>
        <w:tab/>
      </w:r>
      <w:r>
        <w:rPr>
          <w:noProof/>
        </w:rPr>
        <w:fldChar w:fldCharType="begin"/>
      </w:r>
      <w:r>
        <w:rPr>
          <w:noProof/>
        </w:rPr>
        <w:instrText xml:space="preserve"> PAGEREF _Toc96301556 \h </w:instrText>
      </w:r>
      <w:r>
        <w:rPr>
          <w:noProof/>
        </w:rPr>
      </w:r>
      <w:r>
        <w:rPr>
          <w:noProof/>
        </w:rPr>
        <w:fldChar w:fldCharType="separate"/>
      </w:r>
      <w:r>
        <w:rPr>
          <w:noProof/>
        </w:rPr>
        <w:t>14</w:t>
      </w:r>
      <w:r>
        <w:rPr>
          <w:noProof/>
        </w:rPr>
        <w:fldChar w:fldCharType="end"/>
      </w:r>
    </w:p>
    <w:p w14:paraId="659A9898" w14:textId="00A3680F" w:rsidR="00080681" w:rsidRDefault="00431B8B" w:rsidP="00431B8B">
      <w:r w:rsidRPr="00980B05">
        <w:fldChar w:fldCharType="end"/>
      </w:r>
    </w:p>
    <w:p w14:paraId="71FC2AE7" w14:textId="203D2AAB" w:rsidR="00431B8B" w:rsidRPr="00036C94" w:rsidRDefault="00080681" w:rsidP="00431B8B">
      <w:pPr>
        <w:rPr>
          <w:rStyle w:val="TOCHeading1"/>
        </w:rPr>
      </w:pPr>
      <w:r>
        <w:rPr>
          <w:rStyle w:val="TOCHeading1"/>
        </w:rPr>
        <w:t>Liste de tableaux</w:t>
      </w:r>
    </w:p>
    <w:p w14:paraId="20ECA877" w14:textId="6B2149D9" w:rsidR="00CE38B1" w:rsidRDefault="00080681">
      <w:pPr>
        <w:pStyle w:val="TableofFigures"/>
        <w:tabs>
          <w:tab w:val="right" w:leader="dot" w:pos="8662"/>
        </w:tabs>
        <w:rPr>
          <w:rFonts w:asciiTheme="minorHAnsi" w:eastAsiaTheme="minorEastAsia" w:hAnsiTheme="minorHAnsi" w:cstheme="minorBidi"/>
          <w:noProof/>
          <w:szCs w:val="22"/>
        </w:rPr>
      </w:pPr>
      <w:r>
        <w:fldChar w:fldCharType="begin"/>
      </w:r>
      <w:r>
        <w:instrText xml:space="preserve"> TOC \h \z \c "Table" </w:instrText>
      </w:r>
      <w:r>
        <w:fldChar w:fldCharType="separate"/>
      </w:r>
      <w:hyperlink w:anchor="_Toc96072946" w:history="1">
        <w:r w:rsidR="00CE38B1" w:rsidRPr="00A7704C">
          <w:rPr>
            <w:rStyle w:val="Hyperlink"/>
            <w:noProof/>
          </w:rPr>
          <w:t xml:space="preserve">Table 1. </w:t>
        </w:r>
        <w:r w:rsidR="00C80D0D">
          <w:rPr>
            <w:rStyle w:val="Hyperlink"/>
            <w:noProof/>
          </w:rPr>
          <w:t xml:space="preserve">Tensions de transport dans les États membres de la </w:t>
        </w:r>
        <w:r w:rsidR="00CE38B1" w:rsidRPr="00A7704C">
          <w:rPr>
            <w:rStyle w:val="Hyperlink"/>
            <w:i/>
            <w:iCs/>
            <w:noProof/>
          </w:rPr>
          <w:t>SADC</w:t>
        </w:r>
        <w:r w:rsidR="00CE38B1">
          <w:rPr>
            <w:noProof/>
            <w:webHidden/>
          </w:rPr>
          <w:tab/>
        </w:r>
        <w:r w:rsidR="00CE38B1">
          <w:rPr>
            <w:noProof/>
            <w:webHidden/>
          </w:rPr>
          <w:fldChar w:fldCharType="begin"/>
        </w:r>
        <w:r w:rsidR="00CE38B1">
          <w:rPr>
            <w:noProof/>
            <w:webHidden/>
          </w:rPr>
          <w:instrText xml:space="preserve"> PAGEREF _Toc96072946 \h </w:instrText>
        </w:r>
        <w:r w:rsidR="00CE38B1">
          <w:rPr>
            <w:noProof/>
            <w:webHidden/>
          </w:rPr>
        </w:r>
        <w:r w:rsidR="00CE38B1">
          <w:rPr>
            <w:noProof/>
            <w:webHidden/>
          </w:rPr>
          <w:fldChar w:fldCharType="separate"/>
        </w:r>
        <w:r w:rsidR="009F1176">
          <w:rPr>
            <w:noProof/>
            <w:webHidden/>
          </w:rPr>
          <w:t>13</w:t>
        </w:r>
        <w:r w:rsidR="00CE38B1">
          <w:rPr>
            <w:noProof/>
            <w:webHidden/>
          </w:rPr>
          <w:fldChar w:fldCharType="end"/>
        </w:r>
      </w:hyperlink>
    </w:p>
    <w:p w14:paraId="0CA2AB94" w14:textId="32079E6B" w:rsidR="00080681" w:rsidRDefault="00080681" w:rsidP="00431B8B">
      <w:r>
        <w:fldChar w:fldCharType="end"/>
      </w:r>
    </w:p>
    <w:p w14:paraId="4D465068" w14:textId="77777777" w:rsidR="00080681" w:rsidRDefault="00080681" w:rsidP="00431B8B">
      <w:pPr>
        <w:rPr>
          <w:lang w:val="en-GB"/>
        </w:rPr>
      </w:pPr>
    </w:p>
    <w:p w14:paraId="4886CEA8" w14:textId="77777777" w:rsidR="000718AD" w:rsidRPr="00980B05" w:rsidRDefault="000718AD" w:rsidP="000718AD">
      <w:pPr>
        <w:rPr>
          <w:rStyle w:val="TOCHeading1"/>
          <w:lang w:val="en-GB"/>
        </w:rPr>
      </w:pPr>
    </w:p>
    <w:p w14:paraId="7E9822DA" w14:textId="77777777" w:rsidR="000718AD" w:rsidRPr="00980B05" w:rsidRDefault="000718AD" w:rsidP="00431B8B">
      <w:pPr>
        <w:rPr>
          <w:rStyle w:val="TOCHeading1"/>
          <w:lang w:val="en-GB"/>
        </w:rPr>
      </w:pPr>
    </w:p>
    <w:p w14:paraId="7206DC12" w14:textId="77777777" w:rsidR="00431B8B" w:rsidRPr="00980B05" w:rsidRDefault="00431B8B" w:rsidP="00431B8B">
      <w:pPr>
        <w:rPr>
          <w:rStyle w:val="TOCHeading1"/>
          <w:lang w:val="en-GB"/>
        </w:rPr>
      </w:pPr>
    </w:p>
    <w:p w14:paraId="0C359DFF" w14:textId="1654761D" w:rsidR="009F375B" w:rsidRPr="000D0CFB" w:rsidRDefault="009F375B" w:rsidP="008760B2">
      <w:pPr>
        <w:pStyle w:val="Heading1"/>
      </w:pPr>
      <w:r>
        <w:br w:type="page"/>
      </w:r>
      <w:bookmarkStart w:id="0" w:name="_Toc5762316"/>
      <w:bookmarkStart w:id="1" w:name="_Toc6278565"/>
      <w:bookmarkStart w:id="2" w:name="_Toc6280752"/>
      <w:bookmarkStart w:id="3" w:name="_Toc96711217"/>
      <w:r>
        <w:lastRenderedPageBreak/>
        <w:t>Introduction</w:t>
      </w:r>
      <w:bookmarkEnd w:id="0"/>
      <w:bookmarkEnd w:id="1"/>
      <w:bookmarkEnd w:id="2"/>
      <w:bookmarkEnd w:id="3"/>
    </w:p>
    <w:p w14:paraId="633A7DEF" w14:textId="52519D1A" w:rsidR="00C25D48" w:rsidRDefault="009C3184" w:rsidP="00C25D48">
      <w:pPr>
        <w:pStyle w:val="Heading2"/>
      </w:pPr>
      <w:bookmarkStart w:id="4" w:name="_Toc96711218"/>
      <w:r>
        <w:t>Information générale</w:t>
      </w:r>
      <w:bookmarkEnd w:id="4"/>
    </w:p>
    <w:p w14:paraId="16DE1F91" w14:textId="7B369C61" w:rsidR="00226ECA" w:rsidRPr="00CF4E38" w:rsidRDefault="009C3184" w:rsidP="00226ECA">
      <w:pPr>
        <w:pStyle w:val="Heading3"/>
      </w:pPr>
      <w:bookmarkStart w:id="5" w:name="_Hlk93524073"/>
      <w:r>
        <w:t xml:space="preserve">Le préambule fournit le contexte pour le </w:t>
      </w:r>
      <w:r>
        <w:rPr>
          <w:i/>
          <w:iCs/>
        </w:rPr>
        <w:t>code du réseau régional</w:t>
      </w:r>
      <w:r>
        <w:t xml:space="preserve"> et ses différent</w:t>
      </w:r>
      <w:r w:rsidR="00AD6F2E">
        <w:t>e</w:t>
      </w:r>
      <w:r>
        <w:t xml:space="preserve">s sous-sections. Il présente aussi un résumé des différents codes qui composent le </w:t>
      </w:r>
      <w:r>
        <w:rPr>
          <w:i/>
          <w:iCs/>
        </w:rPr>
        <w:t>code du réseau régional</w:t>
      </w:r>
      <w:r>
        <w:t>. Il explique le contexte politique de l’</w:t>
      </w:r>
      <w:r>
        <w:rPr>
          <w:i/>
          <w:iCs/>
        </w:rPr>
        <w:t>interconnexion</w:t>
      </w:r>
      <w:r>
        <w:t xml:space="preserve"> dans la région de la SADC et les objectifs de l'</w:t>
      </w:r>
      <w:r>
        <w:rPr>
          <w:i/>
          <w:iCs/>
        </w:rPr>
        <w:t>interconnexion</w:t>
      </w:r>
      <w:r>
        <w:t xml:space="preserve"> accrue dans la région, aussi bien qu’il décrit les interconnexions actuelles et prévues et les systèmes électriques et le cadre institutionnel de la région de la SADC.  </w:t>
      </w:r>
    </w:p>
    <w:p w14:paraId="59253304" w14:textId="6A0852AB" w:rsidR="00633E18" w:rsidRPr="00980B05" w:rsidRDefault="009C3184" w:rsidP="000D0CFB">
      <w:pPr>
        <w:pStyle w:val="Heading1"/>
      </w:pPr>
      <w:bookmarkStart w:id="6" w:name="_Toc96711219"/>
      <w:bookmarkEnd w:id="5"/>
      <w:r>
        <w:t>Le commerce régional de l’électricité dans la région de la SADC</w:t>
      </w:r>
      <w:bookmarkEnd w:id="6"/>
    </w:p>
    <w:p w14:paraId="442A694E" w14:textId="2719866D" w:rsidR="009C3184" w:rsidRPr="00CF4E38" w:rsidRDefault="009C3184" w:rsidP="009C3184">
      <w:pPr>
        <w:pStyle w:val="Heading2"/>
      </w:pPr>
      <w:bookmarkStart w:id="7" w:name="_Toc96711220"/>
      <w:r>
        <w:t xml:space="preserve">Contexte de la </w:t>
      </w:r>
      <w:r>
        <w:rPr>
          <w:i/>
          <w:iCs/>
        </w:rPr>
        <w:t>SADC</w:t>
      </w:r>
      <w:bookmarkEnd w:id="7"/>
    </w:p>
    <w:p w14:paraId="0A0F1A1D" w14:textId="4A0F5E59" w:rsidR="00E83C6A" w:rsidRDefault="00F905F2" w:rsidP="00F905F2">
      <w:pPr>
        <w:pStyle w:val="Heading3"/>
      </w:pPr>
      <w:r>
        <w:t xml:space="preserve">L’objet principal du développement des marchés régionaux d’électricité est la croissance du commerce entre tant les entreprises de services publics d’État </w:t>
      </w:r>
      <w:r w:rsidR="009F1176">
        <w:t>existants</w:t>
      </w:r>
      <w:r>
        <w:t xml:space="preserve"> que les autres parties prenantes du marché. Un résultat de la croissance du commerce est l'augmentation d’incitatifs pour l’investissement, en particulier par les promoteurs du secteur privé avec l’expertise et les ressources financières qui sont requises pour le développement de l’énergie dans la région. </w:t>
      </w:r>
    </w:p>
    <w:p w14:paraId="722AE2F3" w14:textId="588E365D" w:rsidR="00F905F2" w:rsidRPr="00CF4E38" w:rsidRDefault="00F905F2" w:rsidP="00F905F2">
      <w:pPr>
        <w:pStyle w:val="Heading3"/>
      </w:pPr>
      <w:r>
        <w:t xml:space="preserve">Les institutions régionales du secteur de l’énergie dans la région de la SADC sont les suivantes: </w:t>
      </w:r>
    </w:p>
    <w:p w14:paraId="4F55ED7E" w14:textId="71092C0D" w:rsidR="00E83C6A" w:rsidRPr="002C09C1" w:rsidRDefault="00F905F2" w:rsidP="00036C94">
      <w:pPr>
        <w:pStyle w:val="Numbered"/>
        <w:numPr>
          <w:ilvl w:val="1"/>
          <w:numId w:val="37"/>
        </w:numPr>
        <w:spacing w:after="160" w:line="259" w:lineRule="auto"/>
        <w:rPr>
          <w:rStyle w:val="Emphasis"/>
          <w:i w:val="0"/>
          <w:iCs w:val="0"/>
        </w:rPr>
      </w:pPr>
      <w:r>
        <w:rPr>
          <w:rStyle w:val="Emphasis"/>
        </w:rPr>
        <w:t>La Division de l’énergie du Secrétariat de SADC</w:t>
      </w:r>
      <w:r>
        <w:rPr>
          <w:rStyle w:val="Emphasis"/>
          <w:i w:val="0"/>
          <w:iCs w:val="0"/>
        </w:rPr>
        <w:t xml:space="preserve"> </w:t>
      </w:r>
    </w:p>
    <w:p w14:paraId="5D5172A2" w14:textId="743EB2FF" w:rsidR="00F905F2" w:rsidRPr="002C09C1" w:rsidRDefault="00F821EA" w:rsidP="00036C94">
      <w:pPr>
        <w:pStyle w:val="Numbered"/>
        <w:numPr>
          <w:ilvl w:val="1"/>
          <w:numId w:val="37"/>
        </w:numPr>
        <w:spacing w:after="160" w:line="259" w:lineRule="auto"/>
        <w:rPr>
          <w:rStyle w:val="Emphasis"/>
          <w:iCs w:val="0"/>
        </w:rPr>
      </w:pPr>
      <w:r>
        <w:rPr>
          <w:rStyle w:val="Emphasis"/>
          <w:iCs w:val="0"/>
        </w:rPr>
        <w:t xml:space="preserve">L’Association régionale des régulateurs de l'énergie d'Afrique australe (RERA) </w:t>
      </w:r>
    </w:p>
    <w:p w14:paraId="3E61AF24" w14:textId="146B5074" w:rsidR="00F905F2" w:rsidRPr="00036C94" w:rsidRDefault="00F905F2" w:rsidP="00036C94">
      <w:pPr>
        <w:pStyle w:val="Numbered"/>
        <w:numPr>
          <w:ilvl w:val="1"/>
          <w:numId w:val="37"/>
        </w:numPr>
        <w:spacing w:after="160" w:line="259" w:lineRule="auto"/>
        <w:rPr>
          <w:rStyle w:val="Emphasis"/>
          <w:i w:val="0"/>
          <w:iCs w:val="0"/>
        </w:rPr>
      </w:pPr>
      <w:r>
        <w:rPr>
          <w:rStyle w:val="Emphasis"/>
        </w:rPr>
        <w:t>Le Centre de coordination du SAPP, Pool Énergétique de l’Afrique australe (SAPP).</w:t>
      </w:r>
      <w:r>
        <w:rPr>
          <w:rStyle w:val="Emphasis"/>
          <w:i w:val="0"/>
          <w:iCs w:val="0"/>
        </w:rPr>
        <w:t xml:space="preserve"> </w:t>
      </w:r>
    </w:p>
    <w:p w14:paraId="16A4E1E5" w14:textId="0260B3C0" w:rsidR="007F1EEC" w:rsidRDefault="00B07DB5" w:rsidP="00B07DB5">
      <w:pPr>
        <w:pStyle w:val="Heading3"/>
      </w:pPr>
      <w:r>
        <w:t xml:space="preserve">Un mémorandum de compréhension intergouvernemental (IGMOU) signé par les </w:t>
      </w:r>
      <w:r>
        <w:rPr>
          <w:i/>
          <w:iCs/>
        </w:rPr>
        <w:t>membres actifs du SAPP</w:t>
      </w:r>
      <w:r>
        <w:t xml:space="preserve"> en août 1995 a créé le </w:t>
      </w:r>
      <w:r>
        <w:rPr>
          <w:i/>
          <w:iCs/>
        </w:rPr>
        <w:t>Pool énergétique d'Afrique australe</w:t>
      </w:r>
      <w:r>
        <w:t xml:space="preserve"> (</w:t>
      </w:r>
      <w:r>
        <w:rPr>
          <w:i/>
          <w:iCs/>
        </w:rPr>
        <w:t>SAPP</w:t>
      </w:r>
      <w:r>
        <w:t xml:space="preserve">), un organisme régional de 16 membres qui coordonne la planification, la production, le transport et le marketing de l’électricité pour le compte des entreprises de services publics des États membres de la SADC. Le mémorandum de compréhension entre les entreprises de services publics du </w:t>
      </w:r>
      <w:r>
        <w:rPr>
          <w:i/>
          <w:iCs/>
        </w:rPr>
        <w:t>SAPP</w:t>
      </w:r>
      <w:r>
        <w:t xml:space="preserve"> (IUMOU) a été d'abord revue en 2007 et revue encore plus récemment en octobre 2021. Dans la plus récente révision, les </w:t>
      </w:r>
      <w:r>
        <w:rPr>
          <w:i/>
          <w:iCs/>
        </w:rPr>
        <w:t>entreprises de services publics nationales de l’électricité des États membres de la SADC</w:t>
      </w:r>
      <w:r>
        <w:t xml:space="preserve"> qui sont signataires de cet IUMOU conviennent de ce qui suit:</w:t>
      </w:r>
    </w:p>
    <w:p w14:paraId="0E91A241" w14:textId="5BFB36A7" w:rsidR="00570C1B" w:rsidRPr="002C09C1" w:rsidRDefault="00570C1B" w:rsidP="002C09C1">
      <w:pPr>
        <w:pStyle w:val="Numbered"/>
        <w:numPr>
          <w:ilvl w:val="1"/>
          <w:numId w:val="38"/>
        </w:numPr>
        <w:spacing w:after="160" w:line="259" w:lineRule="auto"/>
        <w:rPr>
          <w:color w:val="000000" w:themeColor="text1"/>
        </w:rPr>
      </w:pPr>
      <w:r>
        <w:rPr>
          <w:color w:val="000000" w:themeColor="text1"/>
        </w:rPr>
        <w:t xml:space="preserve">Coordonner et coopérer dans la planification, le développement et l’exploitation de leurs systèmes en vue de minimiser les coûts tout en maintenant la fiabilité, </w:t>
      </w:r>
      <w:r w:rsidR="00AD6F2E">
        <w:rPr>
          <w:color w:val="000000" w:themeColor="text1"/>
        </w:rPr>
        <w:t>l’</w:t>
      </w:r>
      <w:r>
        <w:rPr>
          <w:color w:val="000000" w:themeColor="text1"/>
        </w:rPr>
        <w:t xml:space="preserve">autonomie et l’autosuffisance au niveau de leurs souhaits. </w:t>
      </w:r>
    </w:p>
    <w:p w14:paraId="1ADE184C" w14:textId="1C2D4D4B" w:rsidR="00570C1B" w:rsidRPr="002C09C1" w:rsidRDefault="00570C1B" w:rsidP="002C09C1">
      <w:pPr>
        <w:pStyle w:val="Numbered"/>
        <w:numPr>
          <w:ilvl w:val="1"/>
          <w:numId w:val="38"/>
        </w:numPr>
        <w:spacing w:after="160" w:line="259" w:lineRule="auto"/>
        <w:rPr>
          <w:color w:val="000000" w:themeColor="text1"/>
        </w:rPr>
      </w:pPr>
      <w:r>
        <w:rPr>
          <w:color w:val="000000" w:themeColor="text1"/>
        </w:rPr>
        <w:lastRenderedPageBreak/>
        <w:t xml:space="preserve">Pour récupérer entièrement les coûts et partager équitablement les bénéfices qui en résulteront, y compris les réductions dans la </w:t>
      </w:r>
      <w:r>
        <w:rPr>
          <w:i/>
          <w:iCs/>
          <w:color w:val="000000" w:themeColor="text1"/>
        </w:rPr>
        <w:t>puissance de réserve</w:t>
      </w:r>
      <w:r>
        <w:rPr>
          <w:color w:val="000000" w:themeColor="text1"/>
        </w:rPr>
        <w:t xml:space="preserve"> de production</w:t>
      </w:r>
      <w:r w:rsidR="00AD6F2E" w:rsidRPr="00AD6F2E">
        <w:rPr>
          <w:color w:val="000000" w:themeColor="text1"/>
        </w:rPr>
        <w:t xml:space="preserve"> </w:t>
      </w:r>
      <w:r w:rsidR="00AD6F2E">
        <w:rPr>
          <w:color w:val="000000" w:themeColor="text1"/>
        </w:rPr>
        <w:t>requise</w:t>
      </w:r>
      <w:r>
        <w:rPr>
          <w:color w:val="000000" w:themeColor="text1"/>
        </w:rPr>
        <w:t xml:space="preserve">, les réductions </w:t>
      </w:r>
      <w:r w:rsidR="00AD6F2E">
        <w:rPr>
          <w:color w:val="000000" w:themeColor="text1"/>
        </w:rPr>
        <w:t>d</w:t>
      </w:r>
      <w:r>
        <w:rPr>
          <w:color w:val="000000" w:themeColor="text1"/>
        </w:rPr>
        <w:t>es coûts du carburant et optimiser l’utilisation des énergies renouvelables (y compris l’énergie hydroélectrique), du gaz et d'autres sources d’énergie disponibles dans la région;</w:t>
      </w:r>
    </w:p>
    <w:p w14:paraId="2C8A1A0E" w14:textId="10FAEDEC" w:rsidR="00570C1B" w:rsidRPr="002C09C1" w:rsidRDefault="00570C1B" w:rsidP="002C09C1">
      <w:pPr>
        <w:pStyle w:val="Numbered"/>
        <w:numPr>
          <w:ilvl w:val="1"/>
          <w:numId w:val="38"/>
        </w:numPr>
        <w:spacing w:after="160" w:line="259" w:lineRule="auto"/>
        <w:rPr>
          <w:color w:val="000000" w:themeColor="text1"/>
        </w:rPr>
      </w:pPr>
      <w:r>
        <w:rPr>
          <w:color w:val="000000" w:themeColor="text1"/>
        </w:rPr>
        <w:t xml:space="preserve"> Coordonner et coopérer dans la planification, le développement et l'exploitation d’un marché régional d’électricité compétitif fondé sur les exigences des </w:t>
      </w:r>
      <w:r>
        <w:rPr>
          <w:i/>
          <w:iCs/>
          <w:color w:val="000000" w:themeColor="text1"/>
        </w:rPr>
        <w:t>États membres de la SADC</w:t>
      </w:r>
      <w:r>
        <w:rPr>
          <w:color w:val="000000" w:themeColor="text1"/>
        </w:rPr>
        <w:t xml:space="preserve">; </w:t>
      </w:r>
    </w:p>
    <w:p w14:paraId="3ACC2012" w14:textId="488FAEB9" w:rsidR="00570C1B" w:rsidRPr="002C09C1" w:rsidRDefault="00570C1B" w:rsidP="002C09C1">
      <w:pPr>
        <w:pStyle w:val="Numbered"/>
        <w:numPr>
          <w:ilvl w:val="1"/>
          <w:numId w:val="38"/>
        </w:numPr>
        <w:spacing w:after="160" w:line="259" w:lineRule="auto"/>
        <w:rPr>
          <w:color w:val="000000" w:themeColor="text1"/>
        </w:rPr>
      </w:pPr>
      <w:r>
        <w:rPr>
          <w:color w:val="000000" w:themeColor="text1"/>
        </w:rPr>
        <w:t xml:space="preserve">Pour s’attaquer, en toute bonne foi, à des questions liées aux interconnexions, dans un esprit de coopération et de transparence; et </w:t>
      </w:r>
    </w:p>
    <w:p w14:paraId="382DB03C" w14:textId="4F18D009" w:rsidR="007F1EEC" w:rsidRPr="002C09C1" w:rsidRDefault="00570C1B" w:rsidP="002C09C1">
      <w:pPr>
        <w:pStyle w:val="Numbered"/>
        <w:numPr>
          <w:ilvl w:val="1"/>
          <w:numId w:val="38"/>
        </w:numPr>
        <w:spacing w:after="160" w:line="259" w:lineRule="auto"/>
        <w:rPr>
          <w:color w:val="000000" w:themeColor="text1"/>
        </w:rPr>
      </w:pPr>
      <w:r>
        <w:rPr>
          <w:color w:val="000000" w:themeColor="text1"/>
        </w:rPr>
        <w:t>Agir solidairement et s’abstenir de s'exploiter les uns les autres.</w:t>
      </w:r>
    </w:p>
    <w:p w14:paraId="43F58A75" w14:textId="64161391" w:rsidR="009C3184" w:rsidRPr="009C3184" w:rsidRDefault="009C3184" w:rsidP="009C3184">
      <w:pPr>
        <w:pStyle w:val="Heading1"/>
      </w:pPr>
      <w:bookmarkStart w:id="8" w:name="_Toc95945412"/>
      <w:bookmarkStart w:id="9" w:name="_Toc95985559"/>
      <w:bookmarkStart w:id="10" w:name="_Toc94041300"/>
      <w:bookmarkStart w:id="11" w:name="_Toc94041470"/>
      <w:bookmarkStart w:id="12" w:name="_Toc94042202"/>
      <w:bookmarkStart w:id="13" w:name="_Toc94042673"/>
      <w:bookmarkStart w:id="14" w:name="_Toc94042857"/>
      <w:bookmarkStart w:id="15" w:name="_Toc94042980"/>
      <w:bookmarkStart w:id="16" w:name="_Toc94043102"/>
      <w:bookmarkStart w:id="17" w:name="_Toc94043147"/>
      <w:bookmarkStart w:id="18" w:name="_Toc94043193"/>
      <w:bookmarkStart w:id="19" w:name="_Toc94041301"/>
      <w:bookmarkStart w:id="20" w:name="_Toc94041471"/>
      <w:bookmarkStart w:id="21" w:name="_Toc94042203"/>
      <w:bookmarkStart w:id="22" w:name="_Toc94042674"/>
      <w:bookmarkStart w:id="23" w:name="_Toc94042858"/>
      <w:bookmarkStart w:id="24" w:name="_Toc94042981"/>
      <w:bookmarkStart w:id="25" w:name="_Toc94043103"/>
      <w:bookmarkStart w:id="26" w:name="_Toc94043148"/>
      <w:bookmarkStart w:id="27" w:name="_Toc94043194"/>
      <w:bookmarkStart w:id="28" w:name="_Toc94041302"/>
      <w:bookmarkStart w:id="29" w:name="_Toc94041472"/>
      <w:bookmarkStart w:id="30" w:name="_Toc94042204"/>
      <w:bookmarkStart w:id="31" w:name="_Toc94042675"/>
      <w:bookmarkStart w:id="32" w:name="_Toc94042859"/>
      <w:bookmarkStart w:id="33" w:name="_Toc94042982"/>
      <w:bookmarkStart w:id="34" w:name="_Toc94043104"/>
      <w:bookmarkStart w:id="35" w:name="_Toc94043149"/>
      <w:bookmarkStart w:id="36" w:name="_Toc94043195"/>
      <w:bookmarkStart w:id="37" w:name="_Toc94041303"/>
      <w:bookmarkStart w:id="38" w:name="_Toc94041473"/>
      <w:bookmarkStart w:id="39" w:name="_Toc94042205"/>
      <w:bookmarkStart w:id="40" w:name="_Toc94042676"/>
      <w:bookmarkStart w:id="41" w:name="_Toc94042860"/>
      <w:bookmarkStart w:id="42" w:name="_Toc94042983"/>
      <w:bookmarkStart w:id="43" w:name="_Toc94043105"/>
      <w:bookmarkStart w:id="44" w:name="_Toc94043150"/>
      <w:bookmarkStart w:id="45" w:name="_Toc94043196"/>
      <w:bookmarkStart w:id="46" w:name="_Toc94041304"/>
      <w:bookmarkStart w:id="47" w:name="_Toc94041474"/>
      <w:bookmarkStart w:id="48" w:name="_Toc94042206"/>
      <w:bookmarkStart w:id="49" w:name="_Toc94042677"/>
      <w:bookmarkStart w:id="50" w:name="_Toc94042861"/>
      <w:bookmarkStart w:id="51" w:name="_Toc94042984"/>
      <w:bookmarkStart w:id="52" w:name="_Toc94043106"/>
      <w:bookmarkStart w:id="53" w:name="_Toc94043151"/>
      <w:bookmarkStart w:id="54" w:name="_Toc94043197"/>
      <w:bookmarkStart w:id="55" w:name="_Toc94041305"/>
      <w:bookmarkStart w:id="56" w:name="_Toc94041475"/>
      <w:bookmarkStart w:id="57" w:name="_Toc94042207"/>
      <w:bookmarkStart w:id="58" w:name="_Toc94042678"/>
      <w:bookmarkStart w:id="59" w:name="_Toc94042862"/>
      <w:bookmarkStart w:id="60" w:name="_Toc94042985"/>
      <w:bookmarkStart w:id="61" w:name="_Toc94043107"/>
      <w:bookmarkStart w:id="62" w:name="_Toc94043152"/>
      <w:bookmarkStart w:id="63" w:name="_Toc94043198"/>
      <w:bookmarkStart w:id="64" w:name="_Toc94041306"/>
      <w:bookmarkStart w:id="65" w:name="_Toc94041476"/>
      <w:bookmarkStart w:id="66" w:name="_Toc94042208"/>
      <w:bookmarkStart w:id="67" w:name="_Toc94042679"/>
      <w:bookmarkStart w:id="68" w:name="_Toc94042863"/>
      <w:bookmarkStart w:id="69" w:name="_Toc94042986"/>
      <w:bookmarkStart w:id="70" w:name="_Toc94043108"/>
      <w:bookmarkStart w:id="71" w:name="_Toc94043153"/>
      <w:bookmarkStart w:id="72" w:name="_Toc94043199"/>
      <w:bookmarkStart w:id="73" w:name="_Toc94041307"/>
      <w:bookmarkStart w:id="74" w:name="_Toc94041477"/>
      <w:bookmarkStart w:id="75" w:name="_Toc94042209"/>
      <w:bookmarkStart w:id="76" w:name="_Toc94042680"/>
      <w:bookmarkStart w:id="77" w:name="_Toc94042864"/>
      <w:bookmarkStart w:id="78" w:name="_Toc94042987"/>
      <w:bookmarkStart w:id="79" w:name="_Toc94043109"/>
      <w:bookmarkStart w:id="80" w:name="_Toc94043154"/>
      <w:bookmarkStart w:id="81" w:name="_Toc94043200"/>
      <w:bookmarkStart w:id="82" w:name="_Toc94041308"/>
      <w:bookmarkStart w:id="83" w:name="_Toc94041478"/>
      <w:bookmarkStart w:id="84" w:name="_Toc94042210"/>
      <w:bookmarkStart w:id="85" w:name="_Toc94042681"/>
      <w:bookmarkStart w:id="86" w:name="_Toc94042865"/>
      <w:bookmarkStart w:id="87" w:name="_Toc94042988"/>
      <w:bookmarkStart w:id="88" w:name="_Toc94043110"/>
      <w:bookmarkStart w:id="89" w:name="_Toc94043155"/>
      <w:bookmarkStart w:id="90" w:name="_Toc94043201"/>
      <w:bookmarkStart w:id="91" w:name="_Toc94041309"/>
      <w:bookmarkStart w:id="92" w:name="_Toc94041479"/>
      <w:bookmarkStart w:id="93" w:name="_Toc94042211"/>
      <w:bookmarkStart w:id="94" w:name="_Toc94042682"/>
      <w:bookmarkStart w:id="95" w:name="_Toc94042866"/>
      <w:bookmarkStart w:id="96" w:name="_Toc94042989"/>
      <w:bookmarkStart w:id="97" w:name="_Toc94043111"/>
      <w:bookmarkStart w:id="98" w:name="_Toc94043156"/>
      <w:bookmarkStart w:id="99" w:name="_Toc94043202"/>
      <w:bookmarkStart w:id="100" w:name="_Toc9671122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t>Objectifs du code du réseau régional</w:t>
      </w:r>
      <w:bookmarkEnd w:id="100"/>
    </w:p>
    <w:p w14:paraId="4929A1D8" w14:textId="05863FA5" w:rsidR="00EE0958" w:rsidRPr="00080681" w:rsidRDefault="00EE0958" w:rsidP="00E1250E">
      <w:pPr>
        <w:pStyle w:val="Heading3"/>
      </w:pPr>
      <w:r>
        <w:t xml:space="preserve">On a besoin du </w:t>
      </w:r>
      <w:r>
        <w:rPr>
          <w:i/>
          <w:iCs/>
        </w:rPr>
        <w:t>code du réseau régional</w:t>
      </w:r>
      <w:r>
        <w:t xml:space="preserve"> pour définir les critères et règles techniques pour les </w:t>
      </w:r>
      <w:r>
        <w:rPr>
          <w:i/>
          <w:iCs/>
        </w:rPr>
        <w:t>utilisateurs</w:t>
      </w:r>
      <w:r>
        <w:t xml:space="preserve"> de l’</w:t>
      </w:r>
      <w:r>
        <w:rPr>
          <w:i/>
          <w:iCs/>
        </w:rPr>
        <w:t>interconnexion</w:t>
      </w:r>
      <w:r>
        <w:t xml:space="preserve"> régionale et le commerce d’électricité. Le </w:t>
      </w:r>
      <w:r>
        <w:rPr>
          <w:i/>
          <w:iCs/>
        </w:rPr>
        <w:t>code du réseau régional</w:t>
      </w:r>
      <w:r>
        <w:t xml:space="preserve"> établit donc les règles et les procédures qui permettent que le système électrique soit planifié et exploité de manière fiable. C'est aussi un instrument plus efficace que les accords bilatéraux, tout particul</w:t>
      </w:r>
      <w:r w:rsidR="00AD6F2E">
        <w:t>i</w:t>
      </w:r>
      <w:r>
        <w:t>èrement lorsqu’on permet l’entrée de nouveaux acteurs plus indépendants et lorsque des réformes sont menées.</w:t>
      </w:r>
    </w:p>
    <w:p w14:paraId="1AD3FE7F" w14:textId="2AF703F6" w:rsidR="00D34913" w:rsidRPr="00A561B7" w:rsidRDefault="009C3184" w:rsidP="00036C94">
      <w:pPr>
        <w:pStyle w:val="Heading3"/>
      </w:pPr>
      <w:r>
        <w:t xml:space="preserve">Les objectifs du </w:t>
      </w:r>
      <w:r>
        <w:rPr>
          <w:i/>
          <w:iCs/>
        </w:rPr>
        <w:t>Code du réseau régional</w:t>
      </w:r>
      <w:r>
        <w:t xml:space="preserve"> de la SADC sont les suivants:</w:t>
      </w:r>
    </w:p>
    <w:p w14:paraId="0BB2186E" w14:textId="3690BB91" w:rsidR="00DA40C6" w:rsidRPr="00E1250E" w:rsidRDefault="00DA40C6" w:rsidP="002C09C1">
      <w:pPr>
        <w:pStyle w:val="Numbered"/>
        <w:numPr>
          <w:ilvl w:val="0"/>
          <w:numId w:val="76"/>
        </w:numPr>
        <w:spacing w:after="160" w:line="259" w:lineRule="auto"/>
        <w:rPr>
          <w:color w:val="000000" w:themeColor="text1"/>
        </w:rPr>
      </w:pPr>
      <w:r>
        <w:rPr>
          <w:color w:val="000000" w:themeColor="text1"/>
        </w:rPr>
        <w:t xml:space="preserve">Assurer la création de l’égalité des chances pour les </w:t>
      </w:r>
      <w:r>
        <w:rPr>
          <w:i/>
          <w:iCs/>
          <w:color w:val="000000" w:themeColor="text1"/>
        </w:rPr>
        <w:t>utilisateurs</w:t>
      </w:r>
      <w:r>
        <w:rPr>
          <w:color w:val="000000" w:themeColor="text1"/>
        </w:rPr>
        <w:t>, tant les actuels que les nouveaux en quête de règles techniques claires pour la connexion aux, et l’utilisation des réseaux de transport de la région.</w:t>
      </w:r>
    </w:p>
    <w:p w14:paraId="78A5CCE3" w14:textId="7D2B1B56" w:rsidR="00DA40C6" w:rsidRPr="00E1250E" w:rsidRDefault="00DA40C6" w:rsidP="002C09C1">
      <w:pPr>
        <w:pStyle w:val="Numbered"/>
        <w:numPr>
          <w:ilvl w:val="0"/>
          <w:numId w:val="76"/>
        </w:numPr>
        <w:spacing w:after="160" w:line="259" w:lineRule="auto"/>
        <w:rPr>
          <w:color w:val="000000" w:themeColor="text1"/>
        </w:rPr>
      </w:pPr>
      <w:r>
        <w:rPr>
          <w:color w:val="000000" w:themeColor="text1"/>
        </w:rPr>
        <w:t xml:space="preserve">Permettre une intégration progressive et sans encombre des énergies renouvelables en réglant les problèmes liés à l’adaptation à leur variabilité et intermittence dans les réseau de transport de la région de la </w:t>
      </w:r>
      <w:r>
        <w:rPr>
          <w:i/>
          <w:iCs/>
          <w:color w:val="000000" w:themeColor="text1"/>
        </w:rPr>
        <w:t>SADC</w:t>
      </w:r>
      <w:r>
        <w:rPr>
          <w:color w:val="000000" w:themeColor="text1"/>
        </w:rPr>
        <w:t>.</w:t>
      </w:r>
    </w:p>
    <w:p w14:paraId="09F58C21" w14:textId="0156F19B" w:rsidR="00DA40C6" w:rsidRPr="00E1250E" w:rsidRDefault="00DA40C6" w:rsidP="002C09C1">
      <w:pPr>
        <w:pStyle w:val="Numbered"/>
        <w:numPr>
          <w:ilvl w:val="0"/>
          <w:numId w:val="76"/>
        </w:numPr>
        <w:spacing w:after="160" w:line="259" w:lineRule="auto"/>
        <w:rPr>
          <w:color w:val="000000" w:themeColor="text1"/>
        </w:rPr>
      </w:pPr>
      <w:r>
        <w:rPr>
          <w:color w:val="000000" w:themeColor="text1"/>
        </w:rPr>
        <w:t>Prendre en compte les technologies CCHT à être connectées aux réseaux de transport de la région.</w:t>
      </w:r>
    </w:p>
    <w:p w14:paraId="2C0D8716" w14:textId="7849DC00" w:rsidR="00DA40C6" w:rsidRPr="00E1250E" w:rsidRDefault="00DA40C6" w:rsidP="002C09C1">
      <w:pPr>
        <w:pStyle w:val="Numbered"/>
        <w:numPr>
          <w:ilvl w:val="0"/>
          <w:numId w:val="76"/>
        </w:numPr>
        <w:spacing w:after="160" w:line="259" w:lineRule="auto"/>
        <w:rPr>
          <w:color w:val="000000" w:themeColor="text1"/>
        </w:rPr>
      </w:pPr>
      <w:r>
        <w:rPr>
          <w:color w:val="000000" w:themeColor="text1"/>
        </w:rPr>
        <w:t xml:space="preserve">Créer un </w:t>
      </w:r>
      <w:r>
        <w:rPr>
          <w:i/>
          <w:iCs/>
          <w:color w:val="000000" w:themeColor="text1"/>
        </w:rPr>
        <w:t>code du réseau régional</w:t>
      </w:r>
      <w:r>
        <w:rPr>
          <w:color w:val="000000" w:themeColor="text1"/>
        </w:rPr>
        <w:t xml:space="preserve"> solide qui puisse être mis en </w:t>
      </w:r>
      <w:r w:rsidR="00AD6F2E">
        <w:rPr>
          <w:color w:val="000000" w:themeColor="text1"/>
        </w:rPr>
        <w:t>œuvre</w:t>
      </w:r>
      <w:r>
        <w:rPr>
          <w:color w:val="000000" w:themeColor="text1"/>
        </w:rPr>
        <w:t xml:space="preserve"> au niveau national de manière progressive et réduire les risques liés aux réglementations et aux risques de placement auxquels s'exposent les acteurs du marché.</w:t>
      </w:r>
    </w:p>
    <w:p w14:paraId="29E9D0A1" w14:textId="4489D8A5" w:rsidR="00DA40C6" w:rsidRPr="00E1250E" w:rsidRDefault="00DA40C6" w:rsidP="002C09C1">
      <w:pPr>
        <w:pStyle w:val="Numbered"/>
        <w:numPr>
          <w:ilvl w:val="0"/>
          <w:numId w:val="76"/>
        </w:numPr>
        <w:spacing w:after="160" w:line="259" w:lineRule="auto"/>
        <w:rPr>
          <w:color w:val="000000" w:themeColor="text1"/>
        </w:rPr>
      </w:pPr>
      <w:r>
        <w:rPr>
          <w:color w:val="000000" w:themeColor="text1"/>
        </w:rPr>
        <w:t xml:space="preserve">Donner aux critères techniques communs plus de visibilité que celle qu’on atteint si les obligations techniques ne sont définies que dans des contrats bilatéraux. Avec le lancement par le </w:t>
      </w:r>
      <w:r>
        <w:rPr>
          <w:i/>
          <w:iCs/>
          <w:color w:val="000000" w:themeColor="text1"/>
        </w:rPr>
        <w:t>SAPP</w:t>
      </w:r>
      <w:r>
        <w:rPr>
          <w:color w:val="000000" w:themeColor="text1"/>
        </w:rPr>
        <w:t xml:space="preserve"> des marchés du jour d’avant, intra</w:t>
      </w:r>
      <w:r w:rsidR="00AD6F2E">
        <w:rPr>
          <w:color w:val="000000" w:themeColor="text1"/>
        </w:rPr>
        <w:t>-</w:t>
      </w:r>
      <w:r>
        <w:rPr>
          <w:color w:val="000000" w:themeColor="text1"/>
        </w:rPr>
        <w:t>journaliers et d’équilibrage, on réduit la dépendance envers les contrats bilatéraux physiques avec des annexes techniques et on a donc besoin d'apporter des dispositions des codes de réseaux à une fondation régionale bien établie.</w:t>
      </w:r>
    </w:p>
    <w:p w14:paraId="651461A6" w14:textId="2770E716" w:rsidR="009A6BF9" w:rsidRDefault="009A6BF9" w:rsidP="002C09C1">
      <w:pPr>
        <w:pStyle w:val="Numbered"/>
        <w:numPr>
          <w:ilvl w:val="0"/>
          <w:numId w:val="76"/>
        </w:numPr>
        <w:spacing w:after="160" w:line="259" w:lineRule="auto"/>
      </w:pPr>
      <w:r>
        <w:lastRenderedPageBreak/>
        <w:t xml:space="preserve">Définir les obligations des </w:t>
      </w:r>
      <w:proofErr w:type="spellStart"/>
      <w:r>
        <w:rPr>
          <w:i/>
          <w:iCs/>
        </w:rPr>
        <w:t>TSOs</w:t>
      </w:r>
      <w:proofErr w:type="spellEnd"/>
      <w:r>
        <w:t xml:space="preserve">, des </w:t>
      </w:r>
      <w:r>
        <w:rPr>
          <w:i/>
          <w:iCs/>
        </w:rPr>
        <w:t>Operateurs du système</w:t>
      </w:r>
      <w:r>
        <w:t xml:space="preserve"> et des </w:t>
      </w:r>
      <w:r>
        <w:rPr>
          <w:i/>
          <w:iCs/>
        </w:rPr>
        <w:t>opérateurs de la zone de contrôle</w:t>
      </w:r>
      <w:r>
        <w:t xml:space="preserve">, des </w:t>
      </w:r>
      <w:r>
        <w:rPr>
          <w:i/>
          <w:iCs/>
        </w:rPr>
        <w:t>acteurs du marché du SAPP</w:t>
      </w:r>
      <w:r>
        <w:t xml:space="preserve"> et des </w:t>
      </w:r>
      <w:r>
        <w:rPr>
          <w:i/>
          <w:iCs/>
        </w:rPr>
        <w:t>membres actifs</w:t>
      </w:r>
      <w:r>
        <w:t xml:space="preserve">, des </w:t>
      </w:r>
      <w:r>
        <w:rPr>
          <w:i/>
          <w:iCs/>
        </w:rPr>
        <w:t>utilisateurs</w:t>
      </w:r>
      <w:r>
        <w:t xml:space="preserve"> des </w:t>
      </w:r>
      <w:r>
        <w:rPr>
          <w:i/>
          <w:iCs/>
        </w:rPr>
        <w:t>systèmes</w:t>
      </w:r>
      <w:r>
        <w:t xml:space="preserve"> de transport interconnecté de la SADC (</w:t>
      </w:r>
      <w:r w:rsidR="00AD6F2E">
        <w:rPr>
          <w:i/>
          <w:iCs/>
        </w:rPr>
        <w:t>génératrices</w:t>
      </w:r>
      <w:r>
        <w:t xml:space="preserve">, </w:t>
      </w:r>
      <w:proofErr w:type="spellStart"/>
      <w:r>
        <w:rPr>
          <w:i/>
          <w:iCs/>
        </w:rPr>
        <w:t>PPIs</w:t>
      </w:r>
      <w:proofErr w:type="spellEnd"/>
      <w:r>
        <w:t xml:space="preserve"> et la clientèle directement connectée, y compris le </w:t>
      </w:r>
      <w:r>
        <w:rPr>
          <w:i/>
          <w:iCs/>
        </w:rPr>
        <w:t>stockage</w:t>
      </w:r>
      <w:r>
        <w:t xml:space="preserve">, les </w:t>
      </w:r>
      <w:r>
        <w:rPr>
          <w:i/>
          <w:iCs/>
        </w:rPr>
        <w:t>operateurs CCHT</w:t>
      </w:r>
      <w:r>
        <w:t xml:space="preserve">, les </w:t>
      </w:r>
      <w:r>
        <w:rPr>
          <w:i/>
          <w:iCs/>
        </w:rPr>
        <w:t>utilisateurs finaux</w:t>
      </w:r>
      <w:r>
        <w:t xml:space="preserve"> et les </w:t>
      </w:r>
      <w:r>
        <w:rPr>
          <w:i/>
          <w:iCs/>
        </w:rPr>
        <w:t>distributeurs</w:t>
      </w:r>
      <w:r>
        <w:t xml:space="preserve">). </w:t>
      </w:r>
    </w:p>
    <w:p w14:paraId="59F309F3" w14:textId="6119020C" w:rsidR="009A6BF9" w:rsidRDefault="009A6BF9" w:rsidP="002C09C1">
      <w:pPr>
        <w:pStyle w:val="Numbered"/>
        <w:widowControl w:val="0"/>
        <w:numPr>
          <w:ilvl w:val="0"/>
          <w:numId w:val="76"/>
        </w:numPr>
        <w:spacing w:after="160" w:line="259" w:lineRule="auto"/>
      </w:pPr>
      <w:r>
        <w:t xml:space="preserve">Définir les obligations, les responsabilités de toutes les </w:t>
      </w:r>
      <w:r>
        <w:rPr>
          <w:i/>
        </w:rPr>
        <w:t>parties</w:t>
      </w:r>
      <w:r>
        <w:t xml:space="preserve"> concernant la garantie de l’accès ouvert, transparent, non-discriminatoire et économique à, et l’utilisation du réseau de transport, tout en maintenant son fonctionnement sûr, fiable et efficace.</w:t>
      </w:r>
    </w:p>
    <w:p w14:paraId="1662FBD8" w14:textId="775DC9AC" w:rsidR="00A66738" w:rsidRPr="000D0CFB" w:rsidRDefault="009C3184" w:rsidP="002C09C1">
      <w:pPr>
        <w:pStyle w:val="Heading1"/>
        <w:keepNext w:val="0"/>
        <w:widowControl w:val="0"/>
        <w:ind w:left="357" w:hanging="357"/>
      </w:pPr>
      <w:bookmarkStart w:id="101" w:name="_Toc94041311"/>
      <w:bookmarkStart w:id="102" w:name="_Toc94041481"/>
      <w:bookmarkStart w:id="103" w:name="_Toc94042213"/>
      <w:bookmarkStart w:id="104" w:name="_Toc94042684"/>
      <w:bookmarkStart w:id="105" w:name="_Toc94042868"/>
      <w:bookmarkStart w:id="106" w:name="_Toc94042991"/>
      <w:bookmarkStart w:id="107" w:name="_Toc94043113"/>
      <w:bookmarkStart w:id="108" w:name="_Toc94043158"/>
      <w:bookmarkStart w:id="109" w:name="_Toc94043204"/>
      <w:bookmarkStart w:id="110" w:name="_Toc94041312"/>
      <w:bookmarkStart w:id="111" w:name="_Toc94041482"/>
      <w:bookmarkStart w:id="112" w:name="_Toc94042214"/>
      <w:bookmarkStart w:id="113" w:name="_Toc94042685"/>
      <w:bookmarkStart w:id="114" w:name="_Toc94042869"/>
      <w:bookmarkStart w:id="115" w:name="_Toc94042992"/>
      <w:bookmarkStart w:id="116" w:name="_Toc94043114"/>
      <w:bookmarkStart w:id="117" w:name="_Toc94043159"/>
      <w:bookmarkStart w:id="118" w:name="_Toc94043205"/>
      <w:bookmarkStart w:id="119" w:name="_Toc94041314"/>
      <w:bookmarkStart w:id="120" w:name="_Toc94041484"/>
      <w:bookmarkStart w:id="121" w:name="_Toc94042216"/>
      <w:bookmarkStart w:id="122" w:name="_Toc94042687"/>
      <w:bookmarkStart w:id="123" w:name="_Toc94042871"/>
      <w:bookmarkStart w:id="124" w:name="_Toc94042994"/>
      <w:bookmarkStart w:id="125" w:name="_Toc94043116"/>
      <w:bookmarkStart w:id="126" w:name="_Toc94043161"/>
      <w:bookmarkStart w:id="127" w:name="_Toc94043207"/>
      <w:bookmarkStart w:id="128" w:name="_Toc94041315"/>
      <w:bookmarkStart w:id="129" w:name="_Toc94041485"/>
      <w:bookmarkStart w:id="130" w:name="_Toc94042217"/>
      <w:bookmarkStart w:id="131" w:name="_Toc94042688"/>
      <w:bookmarkStart w:id="132" w:name="_Toc94042872"/>
      <w:bookmarkStart w:id="133" w:name="_Toc94042995"/>
      <w:bookmarkStart w:id="134" w:name="_Toc94043117"/>
      <w:bookmarkStart w:id="135" w:name="_Toc94043162"/>
      <w:bookmarkStart w:id="136" w:name="_Toc94043208"/>
      <w:bookmarkStart w:id="137" w:name="_Toc94041316"/>
      <w:bookmarkStart w:id="138" w:name="_Toc94041486"/>
      <w:bookmarkStart w:id="139" w:name="_Toc94042218"/>
      <w:bookmarkStart w:id="140" w:name="_Toc94042689"/>
      <w:bookmarkStart w:id="141" w:name="_Toc94042873"/>
      <w:bookmarkStart w:id="142" w:name="_Toc94042996"/>
      <w:bookmarkStart w:id="143" w:name="_Toc94043118"/>
      <w:bookmarkStart w:id="144" w:name="_Toc94043163"/>
      <w:bookmarkStart w:id="145" w:name="_Toc94043209"/>
      <w:bookmarkStart w:id="146" w:name="_Toc94041317"/>
      <w:bookmarkStart w:id="147" w:name="_Toc94041487"/>
      <w:bookmarkStart w:id="148" w:name="_Toc94042219"/>
      <w:bookmarkStart w:id="149" w:name="_Toc94042690"/>
      <w:bookmarkStart w:id="150" w:name="_Toc94042874"/>
      <w:bookmarkStart w:id="151" w:name="_Toc94042997"/>
      <w:bookmarkStart w:id="152" w:name="_Toc94043119"/>
      <w:bookmarkStart w:id="153" w:name="_Toc94043164"/>
      <w:bookmarkStart w:id="154" w:name="_Toc94043210"/>
      <w:bookmarkStart w:id="155" w:name="_Toc94041318"/>
      <w:bookmarkStart w:id="156" w:name="_Toc94041488"/>
      <w:bookmarkStart w:id="157" w:name="_Toc94042220"/>
      <w:bookmarkStart w:id="158" w:name="_Toc94042691"/>
      <w:bookmarkStart w:id="159" w:name="_Toc94042875"/>
      <w:bookmarkStart w:id="160" w:name="_Toc94042998"/>
      <w:bookmarkStart w:id="161" w:name="_Toc94043120"/>
      <w:bookmarkStart w:id="162" w:name="_Toc94043165"/>
      <w:bookmarkStart w:id="163" w:name="_Toc94043211"/>
      <w:bookmarkStart w:id="164" w:name="_Toc94041319"/>
      <w:bookmarkStart w:id="165" w:name="_Toc94041489"/>
      <w:bookmarkStart w:id="166" w:name="_Toc94042221"/>
      <w:bookmarkStart w:id="167" w:name="_Toc94042692"/>
      <w:bookmarkStart w:id="168" w:name="_Toc94042876"/>
      <w:bookmarkStart w:id="169" w:name="_Toc94042999"/>
      <w:bookmarkStart w:id="170" w:name="_Toc94043121"/>
      <w:bookmarkStart w:id="171" w:name="_Toc94043166"/>
      <w:bookmarkStart w:id="172" w:name="_Toc94043212"/>
      <w:bookmarkStart w:id="173" w:name="_Toc96711222"/>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t xml:space="preserve">Structure du </w:t>
      </w:r>
      <w:r>
        <w:rPr>
          <w:i/>
          <w:iCs/>
        </w:rPr>
        <w:t>code du réseau régional</w:t>
      </w:r>
      <w:bookmarkEnd w:id="173"/>
    </w:p>
    <w:p w14:paraId="6E6453C0" w14:textId="4BC0C2EF" w:rsidR="003E2B88" w:rsidRPr="00980B05" w:rsidRDefault="00E817FC" w:rsidP="002C09C1">
      <w:pPr>
        <w:pStyle w:val="Heading3"/>
        <w:keepNext w:val="0"/>
        <w:widowControl w:val="0"/>
      </w:pPr>
      <w:bookmarkStart w:id="174" w:name="_Hlk94279631"/>
      <w:r>
        <w:t xml:space="preserve">Le </w:t>
      </w:r>
      <w:r>
        <w:rPr>
          <w:i/>
          <w:iCs/>
        </w:rPr>
        <w:t>code du réseau régional</w:t>
      </w:r>
      <w:r>
        <w:t xml:space="preserve"> comprend les codes suivants:</w:t>
      </w:r>
    </w:p>
    <w:p w14:paraId="7978175C" w14:textId="1D673948" w:rsidR="006D569B" w:rsidRPr="006D569B" w:rsidRDefault="00E817FC" w:rsidP="00BC37DC">
      <w:pPr>
        <w:pStyle w:val="Heading2"/>
        <w:keepNext w:val="0"/>
        <w:widowControl w:val="0"/>
        <w:ind w:left="578" w:hanging="578"/>
      </w:pPr>
      <w:bookmarkStart w:id="175" w:name="_Toc96711223"/>
      <w:bookmarkEnd w:id="174"/>
      <w:r>
        <w:t>Préambule</w:t>
      </w:r>
      <w:bookmarkEnd w:id="175"/>
    </w:p>
    <w:p w14:paraId="28162467" w14:textId="315DFDBA" w:rsidR="0037720E" w:rsidRPr="00CF4E38" w:rsidRDefault="0037720E" w:rsidP="0037720E">
      <w:pPr>
        <w:pStyle w:val="Heading3"/>
      </w:pPr>
      <w:r>
        <w:t xml:space="preserve">Le préambule fournit le contexte pour le </w:t>
      </w:r>
      <w:r>
        <w:rPr>
          <w:i/>
          <w:iCs/>
        </w:rPr>
        <w:t>code du réseau régional</w:t>
      </w:r>
      <w:r>
        <w:t xml:space="preserve"> et ses différent</w:t>
      </w:r>
      <w:r w:rsidR="00AD6F2E">
        <w:t>e</w:t>
      </w:r>
      <w:r>
        <w:t xml:space="preserve">s sous-sections. Il présente aussi un résumé des différents codes qui composent le </w:t>
      </w:r>
      <w:r>
        <w:rPr>
          <w:i/>
          <w:iCs/>
        </w:rPr>
        <w:t>code du réseau régional</w:t>
      </w:r>
      <w:r>
        <w:t>. Il explique le contexte politique de l’</w:t>
      </w:r>
      <w:r>
        <w:rPr>
          <w:i/>
          <w:iCs/>
        </w:rPr>
        <w:t>interconnexion</w:t>
      </w:r>
      <w:r>
        <w:t xml:space="preserve"> dans la région de la SADC et les objectifs de l'</w:t>
      </w:r>
      <w:r>
        <w:rPr>
          <w:i/>
          <w:iCs/>
        </w:rPr>
        <w:t>interconnexion</w:t>
      </w:r>
      <w:r>
        <w:t xml:space="preserve"> accrue dans la région, aussi bien qu’il décrit les interconnexions actuelles et prévues et les systèmes électriques et le cadre institutionnel de la région de la SADC.  </w:t>
      </w:r>
    </w:p>
    <w:p w14:paraId="298D1811" w14:textId="3DCB43C3" w:rsidR="006D569B" w:rsidRPr="006D569B" w:rsidRDefault="003F12E4" w:rsidP="00BC37DC">
      <w:pPr>
        <w:pStyle w:val="Heading2"/>
      </w:pPr>
      <w:bookmarkStart w:id="176" w:name="_Toc96711224"/>
      <w:r>
        <w:t>Conditions générales (CG)</w:t>
      </w:r>
      <w:bookmarkEnd w:id="176"/>
    </w:p>
    <w:p w14:paraId="5DC6D85F" w14:textId="7999FC05" w:rsidR="006D569B" w:rsidRPr="00F84F38" w:rsidRDefault="00BC37DC" w:rsidP="00A561B7">
      <w:pPr>
        <w:pStyle w:val="Heading3"/>
      </w:pPr>
      <w:r>
        <w:t xml:space="preserve">Les </w:t>
      </w:r>
      <w:r>
        <w:rPr>
          <w:i/>
          <w:iCs/>
        </w:rPr>
        <w:t>Conditions générales</w:t>
      </w:r>
      <w:r>
        <w:t xml:space="preserve"> décrivent les dispositions de l’application générale nécessaire à l’administration globale des dispositifs de gouvernance du c</w:t>
      </w:r>
      <w:r>
        <w:rPr>
          <w:i/>
          <w:iCs/>
        </w:rPr>
        <w:t>ode du réseau régional</w:t>
      </w:r>
      <w:r>
        <w:t xml:space="preserve"> et l’examen des divers aspects du </w:t>
      </w:r>
      <w:r>
        <w:rPr>
          <w:i/>
          <w:iCs/>
        </w:rPr>
        <w:t>code du réseau régional</w:t>
      </w:r>
      <w:r>
        <w:t xml:space="preserve">. Les </w:t>
      </w:r>
      <w:r>
        <w:rPr>
          <w:i/>
          <w:iCs/>
        </w:rPr>
        <w:t>Conditions générales</w:t>
      </w:r>
      <w:r>
        <w:t xml:space="preserve"> traitent aussi des conditions générales du code du réseau </w:t>
      </w:r>
      <w:r>
        <w:lastRenderedPageBreak/>
        <w:t>régional ne figurant pas dans les autres dispositions. Glossaire et Définitions (GD)</w:t>
      </w:r>
    </w:p>
    <w:p w14:paraId="0A5E789B" w14:textId="0496A6AE" w:rsidR="00CB23A6" w:rsidRPr="00F944A4" w:rsidRDefault="00CB23A6" w:rsidP="002C09C1">
      <w:pPr>
        <w:pStyle w:val="Heading3"/>
      </w:pPr>
      <w:r>
        <w:t>Le Glossaire et Définitions (GD) contient un glossaire des termes et une liste d’</w:t>
      </w:r>
      <w:r w:rsidR="009640AD">
        <w:t>abréviations</w:t>
      </w:r>
      <w:r>
        <w:t xml:space="preserve"> et les </w:t>
      </w:r>
      <w:r>
        <w:rPr>
          <w:i/>
          <w:iCs/>
        </w:rPr>
        <w:t>Unités</w:t>
      </w:r>
      <w:r>
        <w:t xml:space="preserve"> utilisées tout au long du code du réseau régional avec les définitions des sigles et </w:t>
      </w:r>
      <w:r w:rsidR="009640AD">
        <w:t>abréviations</w:t>
      </w:r>
      <w:r>
        <w:t xml:space="preserve"> utilisés.</w:t>
      </w:r>
    </w:p>
    <w:p w14:paraId="24ACA9CC" w14:textId="655EE5DF" w:rsidR="006D569B" w:rsidRPr="006D569B" w:rsidRDefault="00E817FC" w:rsidP="002C09C1">
      <w:pPr>
        <w:pStyle w:val="Heading2"/>
      </w:pPr>
      <w:bookmarkStart w:id="177" w:name="_Toc96711225"/>
      <w:r>
        <w:t>Code de planification (CP)</w:t>
      </w:r>
      <w:bookmarkEnd w:id="177"/>
    </w:p>
    <w:p w14:paraId="2767ED57" w14:textId="30CEBC18" w:rsidR="00CB23A6" w:rsidRPr="00F944A4" w:rsidRDefault="00CB23A6" w:rsidP="002C09C1">
      <w:pPr>
        <w:pStyle w:val="Heading3"/>
      </w:pPr>
      <w:r>
        <w:t xml:space="preserve">Le code de planification (CP) précise les critères, principes et procédures techniques et de conception minimaux à être utilisés dans le développement à moyen et long terme des </w:t>
      </w:r>
      <w:r>
        <w:rPr>
          <w:i/>
          <w:iCs/>
        </w:rPr>
        <w:t>systèmes</w:t>
      </w:r>
      <w:r>
        <w:t xml:space="preserve"> de transport des </w:t>
      </w:r>
      <w:r>
        <w:rPr>
          <w:i/>
          <w:iCs/>
        </w:rPr>
        <w:t>États membres de la SADC</w:t>
      </w:r>
      <w:r>
        <w:t>.</w:t>
      </w:r>
    </w:p>
    <w:p w14:paraId="752C6DB4" w14:textId="2B4923FD" w:rsidR="00CD4F3F" w:rsidRPr="00CD4F3F" w:rsidRDefault="00E817FC" w:rsidP="002C09C1">
      <w:pPr>
        <w:pStyle w:val="Heading2"/>
      </w:pPr>
      <w:bookmarkStart w:id="178" w:name="_Toc96711226"/>
      <w:r>
        <w:t>Code opérations (y compris le code de formation de l’</w:t>
      </w:r>
      <w:r>
        <w:rPr>
          <w:i/>
          <w:iCs/>
        </w:rPr>
        <w:t>exploitant du système</w:t>
      </w:r>
      <w:r>
        <w:t>) (CO)</w:t>
      </w:r>
      <w:bookmarkEnd w:id="178"/>
    </w:p>
    <w:p w14:paraId="25592AF3" w14:textId="6D913F35" w:rsidR="00D6492D" w:rsidRPr="00F944A4" w:rsidRDefault="00D6492D" w:rsidP="002C09C1">
      <w:pPr>
        <w:pStyle w:val="Heading3"/>
      </w:pPr>
      <w:r>
        <w:t xml:space="preserve">Le code opérations du </w:t>
      </w:r>
      <w:r w:rsidR="009640AD">
        <w:t>c</w:t>
      </w:r>
      <w:r>
        <w:t>ode d</w:t>
      </w:r>
      <w:r w:rsidR="009640AD">
        <w:t>u</w:t>
      </w:r>
      <w:r>
        <w:t xml:space="preserve"> réseau régional de la </w:t>
      </w:r>
      <w:r>
        <w:rPr>
          <w:i/>
          <w:iCs/>
        </w:rPr>
        <w:t>SADC</w:t>
      </w:r>
      <w:r>
        <w:t xml:space="preserve"> définit les critères techniques, les rôles et responsabilités des parties po</w:t>
      </w:r>
      <w:r w:rsidR="009640AD">
        <w:t>u</w:t>
      </w:r>
      <w:r>
        <w:t xml:space="preserve">r l’opération du </w:t>
      </w:r>
      <w:r>
        <w:rPr>
          <w:i/>
          <w:iCs/>
        </w:rPr>
        <w:t>système de transport interconnecté du SAPP</w:t>
      </w:r>
      <w:r>
        <w:t xml:space="preserve"> et des autres </w:t>
      </w:r>
      <w:r>
        <w:rPr>
          <w:i/>
          <w:iCs/>
        </w:rPr>
        <w:t>zones synchrones de la SADC</w:t>
      </w:r>
      <w:r>
        <w:t>. Il comprend également un ensemble de règles sur la formation de l’</w:t>
      </w:r>
      <w:r>
        <w:rPr>
          <w:i/>
          <w:iCs/>
        </w:rPr>
        <w:t>exploitant du système</w:t>
      </w:r>
      <w:r>
        <w:t>.</w:t>
      </w:r>
    </w:p>
    <w:p w14:paraId="475109E4" w14:textId="07B7ADAF" w:rsidR="00CD4F3F" w:rsidRPr="00CD4F3F" w:rsidRDefault="00E817FC" w:rsidP="002C09C1">
      <w:pPr>
        <w:pStyle w:val="Heading2"/>
      </w:pPr>
      <w:bookmarkStart w:id="179" w:name="_Toc96711227"/>
      <w:r>
        <w:t>Code de connexion (CC)</w:t>
      </w:r>
      <w:bookmarkEnd w:id="179"/>
    </w:p>
    <w:p w14:paraId="36B712F4" w14:textId="7A40481E" w:rsidR="00CF4E38" w:rsidRPr="00F944A4" w:rsidRDefault="0037720E" w:rsidP="002C09C1">
      <w:pPr>
        <w:pStyle w:val="Heading3"/>
      </w:pPr>
      <w:r>
        <w:t xml:space="preserve">Le code de connexion (CC) contient une série de conditions de connexion pour les </w:t>
      </w:r>
      <w:r w:rsidR="009640AD">
        <w:rPr>
          <w:i/>
          <w:iCs/>
        </w:rPr>
        <w:t>génératrices</w:t>
      </w:r>
      <w:r>
        <w:t xml:space="preserve">, les </w:t>
      </w:r>
      <w:r>
        <w:rPr>
          <w:i/>
          <w:iCs/>
        </w:rPr>
        <w:t>concessionnaires</w:t>
      </w:r>
      <w:r>
        <w:t xml:space="preserve">, les utilisateurs finaux et les </w:t>
      </w:r>
      <w:r>
        <w:rPr>
          <w:i/>
          <w:iCs/>
        </w:rPr>
        <w:t>opérateurs CCHT</w:t>
      </w:r>
      <w:r>
        <w:t>.</w:t>
      </w:r>
    </w:p>
    <w:p w14:paraId="378DE0A3" w14:textId="078BB247" w:rsidR="00CD4F3F" w:rsidRPr="00CD4F3F" w:rsidRDefault="00E817FC" w:rsidP="002C09C1">
      <w:pPr>
        <w:pStyle w:val="Heading2"/>
      </w:pPr>
      <w:bookmarkStart w:id="180" w:name="_Toc96711228"/>
      <w:r>
        <w:t>Code d'échange de renseignements (EC)</w:t>
      </w:r>
      <w:bookmarkEnd w:id="180"/>
    </w:p>
    <w:p w14:paraId="2F93EFC4" w14:textId="31E68DC7" w:rsidR="00CF4E38" w:rsidRPr="008E1DCB" w:rsidRDefault="00F979F2" w:rsidP="002C09C1">
      <w:pPr>
        <w:pStyle w:val="Heading3"/>
        <w:rPr>
          <w:bCs/>
          <w:iCs/>
        </w:rPr>
      </w:pPr>
      <w:r>
        <w:rPr>
          <w:rStyle w:val="Heading3Char"/>
        </w:rPr>
        <w:t xml:space="preserve">Le </w:t>
      </w:r>
      <w:r>
        <w:rPr>
          <w:rStyle w:val="Heading3Char"/>
          <w:i/>
          <w:iCs/>
        </w:rPr>
        <w:t>code d'échange de renseignements</w:t>
      </w:r>
      <w:r>
        <w:rPr>
          <w:rStyle w:val="Heading3Char"/>
        </w:rPr>
        <w:t xml:space="preserve"> </w:t>
      </w:r>
      <w:r>
        <w:rPr>
          <w:rStyle w:val="Heading3Char"/>
          <w:i/>
          <w:iCs/>
        </w:rPr>
        <w:t>du CRR de la SADC</w:t>
      </w:r>
      <w:r>
        <w:rPr>
          <w:rStyle w:val="Heading3Char"/>
        </w:rPr>
        <w:t xml:space="preserve"> définit les données du système qui doivent être échangées entre les </w:t>
      </w:r>
      <w:r>
        <w:rPr>
          <w:rStyle w:val="Heading3Char"/>
          <w:i/>
          <w:iCs/>
        </w:rPr>
        <w:t>membres actifs du SAPP</w:t>
      </w:r>
      <w:r>
        <w:rPr>
          <w:rStyle w:val="Heading3Char"/>
        </w:rPr>
        <w:t xml:space="preserve"> et les </w:t>
      </w:r>
      <w:r>
        <w:rPr>
          <w:rStyle w:val="Heading3Char"/>
          <w:i/>
          <w:iCs/>
        </w:rPr>
        <w:t>acteurs du marché du SAPP</w:t>
      </w:r>
      <w:r>
        <w:rPr>
          <w:rStyle w:val="Heading3Char"/>
        </w:rPr>
        <w:t xml:space="preserve"> et les </w:t>
      </w:r>
      <w:proofErr w:type="spellStart"/>
      <w:r>
        <w:rPr>
          <w:rStyle w:val="Heading3Char"/>
          <w:i/>
          <w:iCs/>
        </w:rPr>
        <w:t>TSOs</w:t>
      </w:r>
      <w:proofErr w:type="spellEnd"/>
      <w:r>
        <w:rPr>
          <w:rStyle w:val="Heading3Char"/>
        </w:rPr>
        <w:t xml:space="preserve"> dans le but de </w:t>
      </w:r>
      <w:r w:rsidR="009640AD">
        <w:t>modeler</w:t>
      </w:r>
      <w:r>
        <w:t xml:space="preserve"> et analyser les conditions stables et dynamiques du </w:t>
      </w:r>
      <w:r>
        <w:rPr>
          <w:i/>
          <w:iCs/>
        </w:rPr>
        <w:t>Système de Transport Interconnecté du SAPP</w:t>
      </w:r>
      <w:r>
        <w:t>.</w:t>
      </w:r>
    </w:p>
    <w:p w14:paraId="65078611" w14:textId="15ECF4F0" w:rsidR="00CD4F3F" w:rsidRPr="00CD4F3F" w:rsidRDefault="00E817FC" w:rsidP="002C09C1">
      <w:pPr>
        <w:pStyle w:val="Heading2"/>
      </w:pPr>
      <w:bookmarkStart w:id="181" w:name="_Toc96711229"/>
      <w:r>
        <w:t>Code de mesure de l’électricité (</w:t>
      </w:r>
      <w:proofErr w:type="spellStart"/>
      <w:r>
        <w:t>MtC</w:t>
      </w:r>
      <w:proofErr w:type="spellEnd"/>
      <w:r>
        <w:t>)</w:t>
      </w:r>
      <w:bookmarkEnd w:id="181"/>
    </w:p>
    <w:p w14:paraId="113074FD" w14:textId="74D9E1C2" w:rsidR="00CF4E38" w:rsidRPr="00F944A4" w:rsidRDefault="00E95BB6" w:rsidP="002C09C1">
      <w:pPr>
        <w:pStyle w:val="Heading3"/>
      </w:pPr>
      <w:r>
        <w:t xml:space="preserve">Le </w:t>
      </w:r>
      <w:r>
        <w:rPr>
          <w:i/>
          <w:iCs/>
        </w:rPr>
        <w:t>code de mesure de l’électricité</w:t>
      </w:r>
      <w:r>
        <w:t xml:space="preserve"> (</w:t>
      </w:r>
      <w:proofErr w:type="spellStart"/>
      <w:r>
        <w:rPr>
          <w:i/>
          <w:iCs/>
        </w:rPr>
        <w:t>MtC</w:t>
      </w:r>
      <w:proofErr w:type="spellEnd"/>
      <w:r>
        <w:t xml:space="preserve">) précise les critères techniques, de conception et de fonctionnement à être respectés dans la mesure de chaque point d’échange d’énergie entre les </w:t>
      </w:r>
      <w:r>
        <w:rPr>
          <w:i/>
          <w:iCs/>
        </w:rPr>
        <w:t>acteurs de marché du SAPP</w:t>
      </w:r>
      <w:r>
        <w:t xml:space="preserve">, les </w:t>
      </w:r>
      <w:r>
        <w:rPr>
          <w:i/>
          <w:iCs/>
        </w:rPr>
        <w:t>zones de contrôle</w:t>
      </w:r>
      <w:r>
        <w:t xml:space="preserve">, et entre les </w:t>
      </w:r>
      <w:proofErr w:type="spellStart"/>
      <w:r>
        <w:rPr>
          <w:i/>
          <w:iCs/>
        </w:rPr>
        <w:t>TSOs</w:t>
      </w:r>
      <w:proofErr w:type="spellEnd"/>
      <w:r>
        <w:t xml:space="preserve"> au sein d’une </w:t>
      </w:r>
      <w:r>
        <w:rPr>
          <w:i/>
          <w:iCs/>
        </w:rPr>
        <w:t>zone de contrôle</w:t>
      </w:r>
      <w:r>
        <w:t xml:space="preserve">. </w:t>
      </w:r>
    </w:p>
    <w:p w14:paraId="6558D9E5" w14:textId="387D9CC4" w:rsidR="00CD4F3F" w:rsidRPr="004443F7" w:rsidRDefault="00E817FC" w:rsidP="002C09C1">
      <w:pPr>
        <w:pStyle w:val="Heading2"/>
      </w:pPr>
      <w:bookmarkStart w:id="182" w:name="_Toc96711230"/>
      <w:r>
        <w:t>Code du marché (</w:t>
      </w:r>
      <w:proofErr w:type="spellStart"/>
      <w:r>
        <w:t>MrC</w:t>
      </w:r>
      <w:proofErr w:type="spellEnd"/>
      <w:r>
        <w:t>)</w:t>
      </w:r>
      <w:bookmarkEnd w:id="182"/>
    </w:p>
    <w:p w14:paraId="2743D0AD" w14:textId="6F9A58A4" w:rsidR="00E817FC" w:rsidRPr="00F944A4" w:rsidRDefault="0099720A" w:rsidP="002C09C1">
      <w:pPr>
        <w:pStyle w:val="Heading3"/>
      </w:pPr>
      <w:r>
        <w:t xml:space="preserve">Les sections qui traitent de l’allocation des capacités de transport et de la gestion des congestions dans cet ensemble du code du marché fixent les règles non-discriminatoires pour les conditions d’accès au réseau pour les échanges transfrontaliers en électricité et, en particulier, les règles sur l’allocation des </w:t>
      </w:r>
      <w:r>
        <w:lastRenderedPageBreak/>
        <w:t xml:space="preserve">capacités et la gestion des congestions pour les </w:t>
      </w:r>
      <w:r>
        <w:rPr>
          <w:i/>
          <w:iCs/>
        </w:rPr>
        <w:t>interconnexions</w:t>
      </w:r>
      <w:r>
        <w:t xml:space="preserve"> et les </w:t>
      </w:r>
      <w:r>
        <w:rPr>
          <w:i/>
          <w:iCs/>
        </w:rPr>
        <w:t>réseaux</w:t>
      </w:r>
      <w:r>
        <w:t xml:space="preserve"> de transport qui affectent les flux transfrontaliers et interzonaux d’électricité</w:t>
      </w:r>
    </w:p>
    <w:p w14:paraId="4D016A24" w14:textId="1DAECC1B" w:rsidR="009A6BF9" w:rsidRPr="0036310F" w:rsidRDefault="0036310F" w:rsidP="009A6BF9">
      <w:pPr>
        <w:pStyle w:val="Heading1"/>
      </w:pPr>
      <w:bookmarkStart w:id="183" w:name="_Toc96711231"/>
      <w:r>
        <w:t xml:space="preserve">Langues du </w:t>
      </w:r>
      <w:r>
        <w:rPr>
          <w:i/>
          <w:iCs/>
        </w:rPr>
        <w:t>code du réseau régional</w:t>
      </w:r>
      <w:bookmarkEnd w:id="183"/>
    </w:p>
    <w:p w14:paraId="62E255CF" w14:textId="2F10F191" w:rsidR="009C3184" w:rsidRPr="0036310F" w:rsidRDefault="009A6BF9" w:rsidP="00DA5B6C">
      <w:pPr>
        <w:pStyle w:val="Heading3"/>
      </w:pPr>
      <w:r>
        <w:t xml:space="preserve">Les langues officielles de la </w:t>
      </w:r>
      <w:r>
        <w:rPr>
          <w:i/>
          <w:iCs/>
        </w:rPr>
        <w:t>SADC</w:t>
      </w:r>
      <w:r>
        <w:t xml:space="preserve"> sont le français, l’anglais et le portugais, même si la région est le théâtre d’un grand nombre de langues dans chaque pays. De plus, la communauté de la SADC a adopté le kiswahili comme sa quatrième langue </w:t>
      </w:r>
      <w:r w:rsidR="009640AD">
        <w:t>officielle</w:t>
      </w:r>
      <w:r>
        <w:t xml:space="preserve">. Le </w:t>
      </w:r>
      <w:r>
        <w:rPr>
          <w:i/>
          <w:iCs/>
        </w:rPr>
        <w:t>code du réseau régional</w:t>
      </w:r>
      <w:r>
        <w:t xml:space="preserve"> de la </w:t>
      </w:r>
      <w:r>
        <w:rPr>
          <w:i/>
          <w:iCs/>
        </w:rPr>
        <w:t>SADC</w:t>
      </w:r>
      <w:r>
        <w:t xml:space="preserve"> é disponible en anglais, français et portugais.</w:t>
      </w:r>
    </w:p>
    <w:p w14:paraId="4D5F0DD1" w14:textId="7F4ECF1A" w:rsidR="004F5DC1" w:rsidRDefault="004F5DC1" w:rsidP="004F5DC1">
      <w:pPr>
        <w:pStyle w:val="Heading1"/>
      </w:pPr>
      <w:bookmarkStart w:id="184" w:name="_Toc94041327"/>
      <w:bookmarkStart w:id="185" w:name="_Toc94041497"/>
      <w:bookmarkStart w:id="186" w:name="_Toc94042229"/>
      <w:bookmarkStart w:id="187" w:name="_Toc94042700"/>
      <w:bookmarkStart w:id="188" w:name="_Toc94042884"/>
      <w:bookmarkStart w:id="189" w:name="_Toc94043007"/>
      <w:bookmarkStart w:id="190" w:name="_Toc94043129"/>
      <w:bookmarkStart w:id="191" w:name="_Toc94043174"/>
      <w:bookmarkStart w:id="192" w:name="_Toc94043220"/>
      <w:bookmarkStart w:id="193" w:name="_Toc96711232"/>
      <w:bookmarkEnd w:id="184"/>
      <w:bookmarkEnd w:id="185"/>
      <w:bookmarkEnd w:id="186"/>
      <w:bookmarkEnd w:id="187"/>
      <w:bookmarkEnd w:id="188"/>
      <w:bookmarkEnd w:id="189"/>
      <w:bookmarkEnd w:id="190"/>
      <w:bookmarkEnd w:id="191"/>
      <w:bookmarkEnd w:id="192"/>
      <w:r>
        <w:t>Description du cadre institutionnel en vigueur</w:t>
      </w:r>
      <w:bookmarkEnd w:id="193"/>
    </w:p>
    <w:p w14:paraId="7D374A48" w14:textId="5AB8EE66" w:rsidR="00F87EA3" w:rsidRPr="00F87EA3" w:rsidRDefault="00B75D4C" w:rsidP="00F87EA3">
      <w:pPr>
        <w:pStyle w:val="Heading2"/>
      </w:pPr>
      <w:bookmarkStart w:id="194" w:name="_Toc96711233"/>
      <w:r>
        <w:t xml:space="preserve">La </w:t>
      </w:r>
      <w:r>
        <w:rPr>
          <w:i/>
          <w:iCs/>
        </w:rPr>
        <w:t>Communauté de développement de l'Afrique Australe (SADC)</w:t>
      </w:r>
      <w:bookmarkEnd w:id="194"/>
    </w:p>
    <w:p w14:paraId="07642D8C" w14:textId="58694A68" w:rsidR="00846D0B" w:rsidRPr="00A561B7" w:rsidRDefault="00F87EA3" w:rsidP="00036C94">
      <w:pPr>
        <w:pStyle w:val="Heading3"/>
        <w:rPr>
          <w:rStyle w:val="Hyperlink"/>
          <w:color w:val="auto"/>
          <w:szCs w:val="22"/>
          <w:u w:val="none"/>
          <w:shd w:val="clear" w:color="auto" w:fill="FFFFFF"/>
        </w:rPr>
      </w:pPr>
      <w:r>
        <w:t xml:space="preserve">La Communauté de développement de l'Afrique Australe (SADC) a été créée en 1980 comme une conférence de coordination du développement et s'est transformée en communauté de développement en 1992. C'est une organisation inter-gouvernementale dont le but est de promouvoir la croissance économique durable et équitable et le développement socio-économique par des </w:t>
      </w:r>
      <w:r>
        <w:rPr>
          <w:i/>
          <w:iCs/>
        </w:rPr>
        <w:t>systèmes</w:t>
      </w:r>
      <w:r>
        <w:t xml:space="preserve"> productifs efficaces, une coopération et intégration plus profonde, la bonne gouvernance et une paix et sécurité durables entre les seize États membres de l’Afrique australe: Afrique du Sud, Angola, Botswana, Comores, République Démocratique du Congo, Eswatini, Lesotho, Madagascar, Malawi, île Maurice, Mozambique, Namibie, Seychelles, République Unie de Tanzanie, Zambie, Zimbabwe.</w:t>
      </w:r>
    </w:p>
    <w:p w14:paraId="4F71764A" w14:textId="37C89AE5" w:rsidR="00006439" w:rsidRDefault="002F337D" w:rsidP="00006439">
      <w:pPr>
        <w:pStyle w:val="Heading3"/>
      </w:pPr>
      <w:r>
        <w:t xml:space="preserve">Le Protocol de la </w:t>
      </w:r>
      <w:r>
        <w:rPr>
          <w:i/>
          <w:iCs/>
        </w:rPr>
        <w:t>SADC</w:t>
      </w:r>
      <w:r>
        <w:t xml:space="preserve"> sur l’énergie de 1996 (</w:t>
      </w:r>
      <w:r w:rsidR="009640AD">
        <w:t>révisée</w:t>
      </w:r>
      <w:r>
        <w:t xml:space="preserve"> en 2018) est destiné à promouvoir le développement harmonieux des politiques nationales sur l’énergie et des questions d’intérêt commun pour le développement équilibré et équitable de l’énergie partout dans la région de la </w:t>
      </w:r>
      <w:r>
        <w:rPr>
          <w:i/>
          <w:iCs/>
        </w:rPr>
        <w:t>SADC</w:t>
      </w:r>
      <w:r>
        <w:t xml:space="preserve">. Il a comme objectif «l’harmonisation des politiques cadres réglementaires, normes, instruments, stratégies et programmes nationaux et régionaux sur les questions d’intérêt commun sur la base de l’équité, l’équilibre et le bénéfice mutuel. Le code du réseau régional est un instrument réglementaire clé nécessaire pour appuyer la poursuite des objectifs de politique générale du secteur de l’énergie pour la </w:t>
      </w:r>
      <w:r>
        <w:rPr>
          <w:i/>
          <w:iCs/>
        </w:rPr>
        <w:t>SADC</w:t>
      </w:r>
      <w:r>
        <w:t xml:space="preserve">. </w:t>
      </w:r>
    </w:p>
    <w:p w14:paraId="4ACAEF0B" w14:textId="4906B3E1" w:rsidR="00FD767C" w:rsidRPr="00A1594F" w:rsidRDefault="00510CD2" w:rsidP="00006439">
      <w:pPr>
        <w:pStyle w:val="Heading2"/>
      </w:pPr>
      <w:bookmarkStart w:id="195" w:name="_Toc94043177"/>
      <w:bookmarkStart w:id="196" w:name="_Toc94043223"/>
      <w:bookmarkStart w:id="197" w:name="_Toc94041331"/>
      <w:bookmarkStart w:id="198" w:name="_Toc94041501"/>
      <w:bookmarkStart w:id="199" w:name="_Toc94042233"/>
      <w:bookmarkStart w:id="200" w:name="_Toc94042704"/>
      <w:bookmarkStart w:id="201" w:name="_Toc94042888"/>
      <w:bookmarkStart w:id="202" w:name="_Toc94043011"/>
      <w:bookmarkStart w:id="203" w:name="_Toc94043132"/>
      <w:bookmarkStart w:id="204" w:name="_Toc94043178"/>
      <w:bookmarkStart w:id="205" w:name="_Toc94043224"/>
      <w:bookmarkStart w:id="206" w:name="_Toc96711234"/>
      <w:bookmarkEnd w:id="195"/>
      <w:bookmarkEnd w:id="196"/>
      <w:bookmarkEnd w:id="197"/>
      <w:bookmarkEnd w:id="198"/>
      <w:bookmarkEnd w:id="199"/>
      <w:bookmarkEnd w:id="200"/>
      <w:bookmarkEnd w:id="201"/>
      <w:bookmarkEnd w:id="202"/>
      <w:bookmarkEnd w:id="203"/>
      <w:bookmarkEnd w:id="204"/>
      <w:bookmarkEnd w:id="205"/>
      <w:r>
        <w:t>Le Pool Énergétique de l’Afrique australe (SAPP)</w:t>
      </w:r>
      <w:bookmarkEnd w:id="206"/>
    </w:p>
    <w:p w14:paraId="359F3BA3" w14:textId="25EB18FC" w:rsidR="004F5DC1" w:rsidRDefault="00FD767C" w:rsidP="00A1594F">
      <w:pPr>
        <w:pStyle w:val="Heading3"/>
      </w:pPr>
      <w:r>
        <w:t xml:space="preserve">Le SAPP a été créé en août 1995 au sommet de la SADC tenu à </w:t>
      </w:r>
      <w:proofErr w:type="spellStart"/>
      <w:r>
        <w:t>Kempton</w:t>
      </w:r>
      <w:proofErr w:type="spellEnd"/>
      <w:r>
        <w:t xml:space="preserve"> Park, Afrique du Sud, lorsque les gouvernements des pays membres de la SADC (à l'exception de l’île Maurice) ont signé le mémorandum de compréhension intergouvernemental (IGMOU) pour la formation d’un groupe énergétique dédié à l’électricité dans la région sous le nom de Pool Énergétique de l’Afrique australe </w:t>
      </w:r>
      <w:r>
        <w:lastRenderedPageBreak/>
        <w:t>(</w:t>
      </w:r>
      <w:r>
        <w:rPr>
          <w:i/>
          <w:iCs/>
        </w:rPr>
        <w:t>SAPP</w:t>
      </w:r>
      <w:r>
        <w:t>). Les ministres responsables de l'énergie dans la région de la SADC ont signé l’IGMOU révisé le 23 février 2006.</w:t>
      </w:r>
    </w:p>
    <w:p w14:paraId="12B81833" w14:textId="5D4DF6DE" w:rsidR="00DA0162" w:rsidRPr="00DA0162" w:rsidRDefault="00DA0162" w:rsidP="00DA0162">
      <w:pPr>
        <w:pStyle w:val="Heading3"/>
      </w:pPr>
      <w:r>
        <w:t xml:space="preserve">Le </w:t>
      </w:r>
      <w:r>
        <w:rPr>
          <w:i/>
          <w:iCs/>
        </w:rPr>
        <w:t>SAPP</w:t>
      </w:r>
      <w:r>
        <w:t xml:space="preserve"> est régi par quatre accords: Le mémorandum de compréhension intergouvernemental (IGMOU) qui a permis la création du </w:t>
      </w:r>
      <w:r>
        <w:rPr>
          <w:i/>
          <w:iCs/>
        </w:rPr>
        <w:t>SAPP</w:t>
      </w:r>
      <w:r>
        <w:t xml:space="preserve">; </w:t>
      </w:r>
      <w:r w:rsidR="009033A7">
        <w:t>l</w:t>
      </w:r>
      <w:r>
        <w:t xml:space="preserve">e mémorandum de compréhension entre les entreprises des services publics (IUMOU), qui a été révisé en octobre 2021 et qui a établi les principes élémentaires de gestion et opération du </w:t>
      </w:r>
      <w:r>
        <w:rPr>
          <w:i/>
          <w:iCs/>
        </w:rPr>
        <w:t>SAPP</w:t>
      </w:r>
      <w:r>
        <w:t xml:space="preserve">; l’Accord entre les membres actifs qui </w:t>
      </w:r>
      <w:r w:rsidR="009033A7">
        <w:t>a</w:t>
      </w:r>
      <w:r>
        <w:t xml:space="preserve"> établi les règles spécifiques d’exploitation et de tarification; et le code opérations remplace les critères des lignes directrices opérationnelles du SAPP pendant la Révision 1.0 datée du 29 novembre 2013 à partir de l’entrée en vigueur du </w:t>
      </w:r>
      <w:r>
        <w:rPr>
          <w:i/>
          <w:iCs/>
        </w:rPr>
        <w:t>code du réseau régional</w:t>
      </w:r>
      <w:r>
        <w:t xml:space="preserve"> prévu dans la disposition GC 13. Les lignes directrices opérationnelles du </w:t>
      </w:r>
      <w:r>
        <w:rPr>
          <w:i/>
          <w:iCs/>
        </w:rPr>
        <w:t>SAPP</w:t>
      </w:r>
      <w:r>
        <w:t xml:space="preserve"> continueront à fournir des lignes directrices pour la mise en </w:t>
      </w:r>
      <w:r w:rsidR="009033A7">
        <w:t>œuvre</w:t>
      </w:r>
      <w:r>
        <w:t xml:space="preserve"> du Code opérations.</w:t>
      </w:r>
    </w:p>
    <w:p w14:paraId="73372F35" w14:textId="0405D9D6" w:rsidR="002C6E48" w:rsidRPr="0045518F" w:rsidRDefault="002C6E48" w:rsidP="00A1594F">
      <w:pPr>
        <w:pStyle w:val="Heading3"/>
        <w:rPr>
          <w:b/>
          <w:i/>
        </w:rPr>
      </w:pPr>
      <w:r>
        <w:t xml:space="preserve">Le </w:t>
      </w:r>
      <w:r>
        <w:rPr>
          <w:i/>
          <w:iCs/>
        </w:rPr>
        <w:t>SAPP</w:t>
      </w:r>
      <w:r>
        <w:t xml:space="preserve"> a douze pays membres représentés par leurs respectives entreprises de services publics organisées à travers la </w:t>
      </w:r>
      <w:r>
        <w:rPr>
          <w:i/>
          <w:iCs/>
        </w:rPr>
        <w:t>SADC</w:t>
      </w:r>
      <w:r w:rsidR="009033A7">
        <w:rPr>
          <w:i/>
          <w:iCs/>
        </w:rPr>
        <w:t> </w:t>
      </w:r>
      <w:r w:rsidR="009033A7">
        <w:t>:</w:t>
      </w:r>
      <w:r>
        <w:t xml:space="preserve"> </w:t>
      </w:r>
      <w:bookmarkStart w:id="207" w:name="_Hlk92985715"/>
      <w:r>
        <w:t>Angola, Botswana, République Démocratique du Congo. Eswatini, Lesotho, Malawi, Mozambique, Namibie, Afrique du Sud, République Unie de Tanzanie, Zambie, Zimbabwe.</w:t>
      </w:r>
    </w:p>
    <w:bookmarkEnd w:id="207"/>
    <w:p w14:paraId="7AC8BEE6" w14:textId="5ABBC2E2" w:rsidR="008507EB" w:rsidRPr="0045518F" w:rsidRDefault="001657D7" w:rsidP="00A1594F">
      <w:pPr>
        <w:pStyle w:val="Heading3"/>
        <w:rPr>
          <w:b/>
          <w:i/>
        </w:rPr>
      </w:pPr>
      <w:r>
        <w:t xml:space="preserve">Le SAPP a quatre comités de travail: le </w:t>
      </w:r>
      <w:r w:rsidR="009033A7">
        <w:t>sous-comité</w:t>
      </w:r>
      <w:r>
        <w:t xml:space="preserve"> de l’environnement, le sous-comité des marchés, le sous-comité opérationnel et le sous-comité de planification sous un comité de gestion, qui à son tour fait rapport au comité exécutif (Figure 1). Le sous-comité des marchés a été créé en avril 2007 après la signature du mémorandum de compréhension entre les entreprises de services publics (IUMOU) révisé par le comité exécutif du SAPP le 25 avril 2007. Il y a également le comité exécutif du Centre de Coordination qui régit les activités du Centre de coordination du SAPP et qui a été créé en avril (source: Rapport Annuel du </w:t>
      </w:r>
      <w:r>
        <w:rPr>
          <w:i/>
          <w:iCs/>
        </w:rPr>
        <w:t>SAPP</w:t>
      </w:r>
      <w:r>
        <w:t xml:space="preserve"> de 2020</w:t>
      </w:r>
      <w:r w:rsidR="00B612A0" w:rsidRPr="0045518F">
        <w:rPr>
          <w:rStyle w:val="FootnoteReference"/>
          <w:bCs/>
          <w:iCs/>
          <w:color w:val="000000" w:themeColor="text1"/>
        </w:rPr>
        <w:footnoteReference w:id="2"/>
      </w:r>
      <w:r>
        <w:t>).</w:t>
      </w:r>
    </w:p>
    <w:p w14:paraId="68FBCB0C" w14:textId="77777777" w:rsidR="007C4A86" w:rsidRDefault="007C4A86" w:rsidP="007C4A86">
      <w:pPr>
        <w:rPr>
          <w:lang w:val="en-GB"/>
        </w:rPr>
      </w:pPr>
    </w:p>
    <w:p w14:paraId="0A642205" w14:textId="77777777" w:rsidR="00C31A88" w:rsidRDefault="007C4A86" w:rsidP="00036C94">
      <w:pPr>
        <w:keepNext/>
        <w:jc w:val="center"/>
      </w:pPr>
      <w:r>
        <w:rPr>
          <w:noProof/>
        </w:rPr>
        <w:lastRenderedPageBreak/>
        <w:drawing>
          <wp:inline distT="0" distB="0" distL="0" distR="0" wp14:anchorId="04D5811C" wp14:editId="21BFAC5E">
            <wp:extent cx="5745480" cy="3535354"/>
            <wp:effectExtent l="0" t="0" r="762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6498" cy="3548287"/>
                    </a:xfrm>
                    <a:prstGeom prst="rect">
                      <a:avLst/>
                    </a:prstGeom>
                    <a:noFill/>
                  </pic:spPr>
                </pic:pic>
              </a:graphicData>
            </a:graphic>
          </wp:inline>
        </w:drawing>
      </w:r>
    </w:p>
    <w:p w14:paraId="730950BA" w14:textId="6509FFF4" w:rsidR="007C4A86" w:rsidRPr="00036C94" w:rsidRDefault="00C31A88" w:rsidP="00036C94">
      <w:pPr>
        <w:pStyle w:val="Caption"/>
        <w:jc w:val="center"/>
        <w:rPr>
          <w:bCs w:val="0"/>
          <w:i/>
        </w:rPr>
      </w:pPr>
      <w:bookmarkStart w:id="208" w:name="_Toc96301554"/>
      <w:r>
        <w:t xml:space="preserve">Figure </w:t>
      </w:r>
      <w:r w:rsidR="00572BAD">
        <w:fldChar w:fldCharType="begin"/>
      </w:r>
      <w:r w:rsidR="00572BAD">
        <w:instrText xml:space="preserve"> SEQ Figure \* ARABIC </w:instrText>
      </w:r>
      <w:r w:rsidR="00572BAD">
        <w:fldChar w:fldCharType="separate"/>
      </w:r>
      <w:r w:rsidR="009F1176">
        <w:rPr>
          <w:noProof/>
        </w:rPr>
        <w:t>1</w:t>
      </w:r>
      <w:r w:rsidR="00572BAD">
        <w:rPr>
          <w:noProof/>
        </w:rPr>
        <w:fldChar w:fldCharType="end"/>
      </w:r>
      <w:r>
        <w:t xml:space="preserve">. Organigramme et membres du </w:t>
      </w:r>
      <w:r>
        <w:rPr>
          <w:i/>
          <w:iCs/>
        </w:rPr>
        <w:t>SAPP</w:t>
      </w:r>
      <w:r>
        <w:t xml:space="preserve"> (source: Rapport Annuel du </w:t>
      </w:r>
      <w:r>
        <w:rPr>
          <w:i/>
          <w:iCs/>
        </w:rPr>
        <w:t>SAPP</w:t>
      </w:r>
      <w:r>
        <w:t xml:space="preserve"> de 2020)</w:t>
      </w:r>
      <w:bookmarkEnd w:id="208"/>
    </w:p>
    <w:p w14:paraId="121C21DA" w14:textId="70303516" w:rsidR="001657D7" w:rsidRDefault="001657D7" w:rsidP="00A1594F">
      <w:pPr>
        <w:pStyle w:val="Heading3"/>
      </w:pPr>
      <w:r>
        <w:t xml:space="preserve">Le </w:t>
      </w:r>
      <w:r>
        <w:rPr>
          <w:i/>
          <w:iCs/>
        </w:rPr>
        <w:t>SAPP</w:t>
      </w:r>
      <w:r>
        <w:t xml:space="preserve"> créa le marché de l’énergie à court terme en avril 2001. À partir de janvier 2004, le </w:t>
      </w:r>
      <w:r>
        <w:rPr>
          <w:i/>
          <w:iCs/>
        </w:rPr>
        <w:t>SAPP</w:t>
      </w:r>
      <w:r>
        <w:t xml:space="preserve"> a commencé le développement d’un marché de l’électricité compétitif pour la région de la SADC. Le marché du jour d'avant (MJA) a été créé en décembre 2009. En 2015 la plateforme commerciale du SAPP a été actualisée avec les marchés physiques à terme et le marché intra</w:t>
      </w:r>
      <w:r w:rsidR="009033A7">
        <w:t>-</w:t>
      </w:r>
      <w:r>
        <w:t>journalier.</w:t>
      </w:r>
    </w:p>
    <w:p w14:paraId="2DBBE0FE" w14:textId="76EF5408" w:rsidR="006A090D" w:rsidRPr="002C09C1" w:rsidRDefault="006937FB" w:rsidP="00A561B7">
      <w:pPr>
        <w:pStyle w:val="Heading2"/>
        <w:rPr>
          <w:i/>
        </w:rPr>
      </w:pPr>
      <w:bookmarkStart w:id="209" w:name="_Toc96711235"/>
      <w:r>
        <w:rPr>
          <w:bCs/>
          <w:i/>
        </w:rPr>
        <w:t>L’Association régionale des régulateurs de l'énergie d'Afrique australe (RERA)</w:t>
      </w:r>
      <w:bookmarkEnd w:id="209"/>
      <w:r>
        <w:rPr>
          <w:b w:val="0"/>
          <w:bCs/>
          <w:i/>
        </w:rPr>
        <w:t xml:space="preserve"> </w:t>
      </w:r>
    </w:p>
    <w:p w14:paraId="0BF29D3C" w14:textId="5E523BBD" w:rsidR="006A090D" w:rsidRDefault="006A090D" w:rsidP="006A090D">
      <w:pPr>
        <w:pStyle w:val="Heading3"/>
      </w:pPr>
      <w:r>
        <w:t xml:space="preserve">La RERA a été créée en tant qu'organisation à but non lucratif selon les lois de la Namibie en 2003. Un accord entre la </w:t>
      </w:r>
      <w:r>
        <w:rPr>
          <w:i/>
        </w:rPr>
        <w:t>RERA</w:t>
      </w:r>
      <w:r>
        <w:t xml:space="preserve"> et le gouvernement de la République de Namibie concernant l'hébergement du secrétariat de la </w:t>
      </w:r>
      <w:r>
        <w:rPr>
          <w:i/>
        </w:rPr>
        <w:t>RERA</w:t>
      </w:r>
      <w:r>
        <w:t xml:space="preserve"> a été signé en 2010 dans le but de faciliter l'accréditation diplomatique de l'association en tant qu'institution subsidiaire de la </w:t>
      </w:r>
      <w:r>
        <w:rPr>
          <w:i/>
        </w:rPr>
        <w:t>SADC</w:t>
      </w:r>
      <w:r>
        <w:t xml:space="preserve">. La </w:t>
      </w:r>
      <w:r>
        <w:rPr>
          <w:i/>
        </w:rPr>
        <w:t>RERA</w:t>
      </w:r>
      <w:r>
        <w:t xml:space="preserve"> est constituée comme une association à laquelle les autorités nationales de régulation peuvent demander à adhérer. Elle est financée par les régulateurs membres. La RERA, de par sa constitution, a des pouvoirs limités. Son rôle a été élargi pour englober toute l’«énergie» dans la région sans extension de ses pouvoirs. Son mandat actuel couvre:  </w:t>
      </w:r>
    </w:p>
    <w:p w14:paraId="42E652BF" w14:textId="77777777" w:rsidR="00A26B79" w:rsidRPr="00F84F38" w:rsidRDefault="00A26B79" w:rsidP="00F84F38"/>
    <w:p w14:paraId="0DF791FB" w14:textId="1ACCCF91" w:rsidR="006A090D" w:rsidRPr="00797CBE" w:rsidRDefault="003C7F25" w:rsidP="00A561B7">
      <w:pPr>
        <w:pStyle w:val="ListParagraph"/>
        <w:numPr>
          <w:ilvl w:val="0"/>
          <w:numId w:val="72"/>
        </w:numPr>
        <w:spacing w:line="360" w:lineRule="auto"/>
        <w:rPr>
          <w:rFonts w:ascii="Arial" w:hAnsi="Arial" w:cs="Arial"/>
          <w:sz w:val="22"/>
          <w:szCs w:val="22"/>
        </w:rPr>
      </w:pPr>
      <w:r>
        <w:rPr>
          <w:rFonts w:ascii="Arial" w:hAnsi="Arial"/>
          <w:sz w:val="22"/>
          <w:szCs w:val="22"/>
        </w:rPr>
        <w:t>le r</w:t>
      </w:r>
      <w:r w:rsidR="006A090D">
        <w:rPr>
          <w:rFonts w:ascii="Arial" w:hAnsi="Arial"/>
          <w:sz w:val="22"/>
          <w:szCs w:val="22"/>
        </w:rPr>
        <w:t xml:space="preserve">enforcement des capacités et </w:t>
      </w:r>
      <w:r>
        <w:rPr>
          <w:rFonts w:ascii="Arial" w:hAnsi="Arial"/>
          <w:sz w:val="22"/>
          <w:szCs w:val="22"/>
        </w:rPr>
        <w:t xml:space="preserve">le </w:t>
      </w:r>
      <w:r w:rsidR="006A090D">
        <w:rPr>
          <w:rFonts w:ascii="Arial" w:hAnsi="Arial"/>
          <w:sz w:val="22"/>
          <w:szCs w:val="22"/>
        </w:rPr>
        <w:t>partage d'</w:t>
      </w:r>
      <w:r w:rsidR="006A090D">
        <w:rPr>
          <w:rFonts w:ascii="Arial" w:hAnsi="Arial"/>
          <w:i/>
          <w:iCs/>
          <w:sz w:val="22"/>
          <w:szCs w:val="22"/>
        </w:rPr>
        <w:t>informations</w:t>
      </w:r>
    </w:p>
    <w:p w14:paraId="6DA7FCC2" w14:textId="199E9E42" w:rsidR="006A090D" w:rsidRPr="00797CBE" w:rsidRDefault="003C7F25" w:rsidP="00A561B7">
      <w:pPr>
        <w:pStyle w:val="ListParagraph"/>
        <w:numPr>
          <w:ilvl w:val="0"/>
          <w:numId w:val="72"/>
        </w:numPr>
        <w:spacing w:line="360" w:lineRule="auto"/>
        <w:rPr>
          <w:rFonts w:ascii="Arial" w:hAnsi="Arial" w:cs="Arial"/>
          <w:sz w:val="22"/>
          <w:szCs w:val="22"/>
        </w:rPr>
      </w:pPr>
      <w:r>
        <w:rPr>
          <w:rFonts w:ascii="Arial" w:hAnsi="Arial"/>
          <w:sz w:val="22"/>
          <w:szCs w:val="22"/>
        </w:rPr>
        <w:t>la f</w:t>
      </w:r>
      <w:r w:rsidR="006A090D">
        <w:rPr>
          <w:rFonts w:ascii="Arial" w:hAnsi="Arial"/>
          <w:sz w:val="22"/>
          <w:szCs w:val="22"/>
        </w:rPr>
        <w:t>acilitation de la politique, de la législation et du commerce dans le secteur de l'énergie</w:t>
      </w:r>
    </w:p>
    <w:p w14:paraId="60988F9E" w14:textId="2373E398" w:rsidR="006A090D" w:rsidRPr="00797CBE" w:rsidRDefault="003C7F25" w:rsidP="00A561B7">
      <w:pPr>
        <w:pStyle w:val="ListParagraph"/>
        <w:numPr>
          <w:ilvl w:val="0"/>
          <w:numId w:val="72"/>
        </w:numPr>
        <w:spacing w:line="360" w:lineRule="auto"/>
        <w:rPr>
          <w:rFonts w:ascii="Arial" w:hAnsi="Arial" w:cs="Arial"/>
          <w:sz w:val="22"/>
          <w:szCs w:val="22"/>
        </w:rPr>
      </w:pPr>
      <w:r>
        <w:rPr>
          <w:rFonts w:ascii="Arial" w:hAnsi="Arial"/>
          <w:sz w:val="22"/>
          <w:szCs w:val="22"/>
        </w:rPr>
        <w:t>la p</w:t>
      </w:r>
      <w:r w:rsidR="006A090D">
        <w:rPr>
          <w:rFonts w:ascii="Arial" w:hAnsi="Arial"/>
          <w:sz w:val="22"/>
          <w:szCs w:val="22"/>
        </w:rPr>
        <w:t xml:space="preserve">rotection des consommateurs et </w:t>
      </w:r>
      <w:r>
        <w:rPr>
          <w:rFonts w:ascii="Arial" w:hAnsi="Arial"/>
          <w:sz w:val="22"/>
          <w:szCs w:val="22"/>
        </w:rPr>
        <w:t xml:space="preserve">des </w:t>
      </w:r>
      <w:r w:rsidR="006A090D">
        <w:rPr>
          <w:rFonts w:ascii="Arial" w:hAnsi="Arial"/>
          <w:sz w:val="22"/>
          <w:szCs w:val="22"/>
        </w:rPr>
        <w:t>services de communication</w:t>
      </w:r>
    </w:p>
    <w:p w14:paraId="57CA8507" w14:textId="14D9CA61" w:rsidR="006A090D" w:rsidRDefault="003C7F25" w:rsidP="008269AF">
      <w:pPr>
        <w:pStyle w:val="ListParagraph"/>
        <w:numPr>
          <w:ilvl w:val="0"/>
          <w:numId w:val="72"/>
        </w:numPr>
        <w:spacing w:line="360" w:lineRule="auto"/>
        <w:rPr>
          <w:rFonts w:ascii="Arial" w:hAnsi="Arial" w:cs="Arial"/>
          <w:sz w:val="22"/>
          <w:szCs w:val="22"/>
        </w:rPr>
      </w:pPr>
      <w:r>
        <w:rPr>
          <w:rFonts w:ascii="Arial" w:hAnsi="Arial"/>
          <w:sz w:val="22"/>
          <w:szCs w:val="22"/>
        </w:rPr>
        <w:t>la c</w:t>
      </w:r>
      <w:r w:rsidR="006A090D">
        <w:rPr>
          <w:rFonts w:ascii="Arial" w:hAnsi="Arial"/>
          <w:sz w:val="22"/>
          <w:szCs w:val="22"/>
        </w:rPr>
        <w:t>oopération régionale en matière de réglementation</w:t>
      </w:r>
    </w:p>
    <w:p w14:paraId="6C2657E8" w14:textId="799CA03A" w:rsidR="006A090D" w:rsidRPr="00A561B7" w:rsidRDefault="006937FB" w:rsidP="00A561B7">
      <w:pPr>
        <w:pStyle w:val="Heading3"/>
      </w:pPr>
      <w:r>
        <w:lastRenderedPageBreak/>
        <w:t>À l’avenir, une nouvelle institution de régulation, SARERA, sera créée comme u</w:t>
      </w:r>
      <w:r w:rsidR="003C7F25">
        <w:t>n</w:t>
      </w:r>
      <w:r>
        <w:t xml:space="preserve">e organisation subsidiaire légale, au sens des Principes de Subsidiarité de la </w:t>
      </w:r>
      <w:r>
        <w:rPr>
          <w:i/>
          <w:iCs/>
        </w:rPr>
        <w:t>SADC</w:t>
      </w:r>
      <w:r>
        <w:t xml:space="preserve"> adopté</w:t>
      </w:r>
      <w:r w:rsidR="003C7F25">
        <w:t>s</w:t>
      </w:r>
      <w:r>
        <w:t xml:space="preserve"> par les Sommet en 2004 et du Protocole sur l'énergie. Elle aura le statut d’une organisation subsidiaire. Elle sera créée par une charte rédigée conformément aux lignes directrices de la </w:t>
      </w:r>
      <w:r>
        <w:rPr>
          <w:i/>
          <w:iCs/>
        </w:rPr>
        <w:t>SADC</w:t>
      </w:r>
      <w:r>
        <w:t xml:space="preserve"> pour la rédaction d'instruments juridiques régionaux de la </w:t>
      </w:r>
      <w:r>
        <w:rPr>
          <w:i/>
          <w:iCs/>
        </w:rPr>
        <w:t>SADC</w:t>
      </w:r>
      <w:r>
        <w:t xml:space="preserve">. Comme dans le cas de l'ERERA, la SARERA aura un petit conseil de gouvernance à temps partiel, qui rendra compte aux hauts fonctionnaires et, en fin de compte, au Comité des ministres (COM), conformément aux règles de la </w:t>
      </w:r>
      <w:r>
        <w:rPr>
          <w:i/>
          <w:iCs/>
        </w:rPr>
        <w:t>SADC</w:t>
      </w:r>
      <w:r>
        <w:t xml:space="preserve"> relatives aux organisations de subsidiarité.</w:t>
      </w:r>
    </w:p>
    <w:p w14:paraId="4C34040E" w14:textId="3144E079" w:rsidR="005A3731" w:rsidRDefault="005C155F" w:rsidP="00A561B7">
      <w:pPr>
        <w:pStyle w:val="Heading3"/>
        <w:numPr>
          <w:ilvl w:val="0"/>
          <w:numId w:val="0"/>
        </w:numPr>
        <w:spacing w:line="360" w:lineRule="auto"/>
        <w:ind w:left="576" w:hanging="576"/>
        <w:jc w:val="center"/>
      </w:pPr>
      <w:r>
        <w:rPr>
          <w:noProof/>
        </w:rPr>
        <w:drawing>
          <wp:inline distT="0" distB="0" distL="0" distR="0" wp14:anchorId="282EE982" wp14:editId="01E53D86">
            <wp:extent cx="5495493" cy="364701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01290" cy="3650860"/>
                    </a:xfrm>
                    <a:prstGeom prst="rect">
                      <a:avLst/>
                    </a:prstGeom>
                    <a:noFill/>
                  </pic:spPr>
                </pic:pic>
              </a:graphicData>
            </a:graphic>
          </wp:inline>
        </w:drawing>
      </w:r>
    </w:p>
    <w:p w14:paraId="13CDC4E5" w14:textId="580747BA" w:rsidR="005C155F" w:rsidRDefault="005C155F" w:rsidP="005C155F">
      <w:pPr>
        <w:rPr>
          <w:lang w:val="en-GB"/>
        </w:rPr>
      </w:pPr>
    </w:p>
    <w:p w14:paraId="2A578FCD" w14:textId="46128BC2" w:rsidR="005C155F" w:rsidRPr="00A561B7" w:rsidRDefault="005C155F" w:rsidP="00A561B7">
      <w:pPr>
        <w:pStyle w:val="Caption"/>
        <w:jc w:val="center"/>
        <w:rPr>
          <w:b w:val="0"/>
        </w:rPr>
      </w:pPr>
      <w:bookmarkStart w:id="210" w:name="_Toc96301555"/>
      <w:r>
        <w:t xml:space="preserve">Figure </w:t>
      </w:r>
      <w:r w:rsidR="00572BAD">
        <w:fldChar w:fldCharType="begin"/>
      </w:r>
      <w:r w:rsidR="00572BAD">
        <w:instrText xml:space="preserve"> SEQ Figure \* ARABIC </w:instrText>
      </w:r>
      <w:r w:rsidR="00572BAD">
        <w:fldChar w:fldCharType="separate"/>
      </w:r>
      <w:r w:rsidR="009F1176">
        <w:rPr>
          <w:noProof/>
        </w:rPr>
        <w:t>2</w:t>
      </w:r>
      <w:r w:rsidR="00572BAD">
        <w:rPr>
          <w:noProof/>
        </w:rPr>
        <w:fldChar w:fldCharType="end"/>
      </w:r>
      <w:r>
        <w:t xml:space="preserve">. Structure de la SARERA conforme aux directives de la </w:t>
      </w:r>
      <w:r>
        <w:rPr>
          <w:i/>
          <w:iCs/>
        </w:rPr>
        <w:t>SADC</w:t>
      </w:r>
      <w:r>
        <w:rPr>
          <w:rStyle w:val="FootnoteReference"/>
        </w:rPr>
        <w:footnoteReference w:id="3"/>
      </w:r>
      <w:bookmarkEnd w:id="210"/>
    </w:p>
    <w:p w14:paraId="765378EC" w14:textId="5D2411F6" w:rsidR="004F5DC1" w:rsidRDefault="004F5DC1" w:rsidP="004F5DC1">
      <w:pPr>
        <w:pStyle w:val="Heading1"/>
      </w:pPr>
      <w:bookmarkStart w:id="211" w:name="_Toc94041333"/>
      <w:bookmarkStart w:id="212" w:name="_Toc94041503"/>
      <w:bookmarkStart w:id="213" w:name="_Toc94042235"/>
      <w:bookmarkStart w:id="214" w:name="_Toc94042706"/>
      <w:bookmarkStart w:id="215" w:name="_Toc94042890"/>
      <w:bookmarkStart w:id="216" w:name="_Toc94043013"/>
      <w:bookmarkStart w:id="217" w:name="_Toc94043134"/>
      <w:bookmarkStart w:id="218" w:name="_Toc94043180"/>
      <w:bookmarkStart w:id="219" w:name="_Toc94043226"/>
      <w:bookmarkStart w:id="220" w:name="_Toc94041334"/>
      <w:bookmarkStart w:id="221" w:name="_Toc94041504"/>
      <w:bookmarkStart w:id="222" w:name="_Toc94042236"/>
      <w:bookmarkStart w:id="223" w:name="_Toc94042707"/>
      <w:bookmarkStart w:id="224" w:name="_Toc94042891"/>
      <w:bookmarkStart w:id="225" w:name="_Toc94043014"/>
      <w:bookmarkStart w:id="226" w:name="_Toc94043135"/>
      <w:bookmarkStart w:id="227" w:name="_Toc94043181"/>
      <w:bookmarkStart w:id="228" w:name="_Toc94043227"/>
      <w:bookmarkStart w:id="229" w:name="_Toc94041335"/>
      <w:bookmarkStart w:id="230" w:name="_Toc94041505"/>
      <w:bookmarkStart w:id="231" w:name="_Toc94042237"/>
      <w:bookmarkStart w:id="232" w:name="_Toc94042708"/>
      <w:bookmarkStart w:id="233" w:name="_Toc94042892"/>
      <w:bookmarkStart w:id="234" w:name="_Toc94043015"/>
      <w:bookmarkStart w:id="235" w:name="_Toc94043136"/>
      <w:bookmarkStart w:id="236" w:name="_Toc94043182"/>
      <w:bookmarkStart w:id="237" w:name="_Toc94043228"/>
      <w:bookmarkStart w:id="238" w:name="_Toc94041336"/>
      <w:bookmarkStart w:id="239" w:name="_Toc94041506"/>
      <w:bookmarkStart w:id="240" w:name="_Toc94042238"/>
      <w:bookmarkStart w:id="241" w:name="_Toc94042709"/>
      <w:bookmarkStart w:id="242" w:name="_Toc94042893"/>
      <w:bookmarkStart w:id="243" w:name="_Toc94043016"/>
      <w:bookmarkStart w:id="244" w:name="_Toc94043137"/>
      <w:bookmarkStart w:id="245" w:name="_Toc94043183"/>
      <w:bookmarkStart w:id="246" w:name="_Toc94043229"/>
      <w:bookmarkStart w:id="247" w:name="_Toc94041337"/>
      <w:bookmarkStart w:id="248" w:name="_Toc94041507"/>
      <w:bookmarkStart w:id="249" w:name="_Toc94042239"/>
      <w:bookmarkStart w:id="250" w:name="_Toc94042710"/>
      <w:bookmarkStart w:id="251" w:name="_Toc94042894"/>
      <w:bookmarkStart w:id="252" w:name="_Toc94043017"/>
      <w:bookmarkStart w:id="253" w:name="_Toc94043138"/>
      <w:bookmarkStart w:id="254" w:name="_Toc94043184"/>
      <w:bookmarkStart w:id="255" w:name="_Toc94043230"/>
      <w:bookmarkStart w:id="256" w:name="_Toc96711236"/>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t xml:space="preserve">Description des </w:t>
      </w:r>
      <w:r>
        <w:rPr>
          <w:i/>
          <w:iCs/>
        </w:rPr>
        <w:t>systèmes électriques</w:t>
      </w:r>
      <w:r>
        <w:t xml:space="preserve"> existants</w:t>
      </w:r>
      <w:bookmarkEnd w:id="256"/>
    </w:p>
    <w:p w14:paraId="36E012AD" w14:textId="08BBD0D4" w:rsidR="002E2469" w:rsidRPr="002E2469" w:rsidRDefault="00600A1D" w:rsidP="002E2469">
      <w:pPr>
        <w:pStyle w:val="Heading2"/>
      </w:pPr>
      <w:bookmarkStart w:id="257" w:name="_Hlk93440381"/>
      <w:bookmarkStart w:id="258" w:name="_Toc96711237"/>
      <w:r>
        <w:t>Systèmes électriques</w:t>
      </w:r>
      <w:bookmarkEnd w:id="257"/>
      <w:r w:rsidR="003C7F25">
        <w:t xml:space="preserve"> </w:t>
      </w:r>
      <w:r>
        <w:t>de la SADC</w:t>
      </w:r>
      <w:bookmarkEnd w:id="258"/>
      <w:r>
        <w:t xml:space="preserve"> </w:t>
      </w:r>
    </w:p>
    <w:p w14:paraId="48582F40" w14:textId="38BB60BE" w:rsidR="00C3269F" w:rsidRDefault="00C3269F" w:rsidP="00E40A60">
      <w:pPr>
        <w:pStyle w:val="Heading3"/>
      </w:pPr>
      <w:r>
        <w:t xml:space="preserve">Tous les </w:t>
      </w:r>
      <w:r>
        <w:rPr>
          <w:i/>
          <w:iCs/>
        </w:rPr>
        <w:t>États membres de la SADC</w:t>
      </w:r>
      <w:r>
        <w:t xml:space="preserve"> non-insulaires, à l’exception de l’Angola, du Malawi et de la Tanzanie, sont interconnectés par l'intermédiaire du système de transport interconnecté du </w:t>
      </w:r>
      <w:r>
        <w:rPr>
          <w:i/>
          <w:iCs/>
        </w:rPr>
        <w:t>Pool Énergétique de l’Afrique australe</w:t>
      </w:r>
      <w:r>
        <w:t xml:space="preserve"> (</w:t>
      </w:r>
      <w:r>
        <w:rPr>
          <w:i/>
          <w:iCs/>
        </w:rPr>
        <w:t>SAPP</w:t>
      </w:r>
      <w:r>
        <w:t xml:space="preserve">), leur </w:t>
      </w:r>
      <w:r w:rsidR="003C7F25">
        <w:t>permettant</w:t>
      </w:r>
      <w:r>
        <w:t xml:space="preserve"> de partager l’énergie excédentaire. La nouvelle capacité de production installée dans n’importe lequel des trois pays non-participants n'est pas accessible aux neuf autres membres du SAPP – </w:t>
      </w:r>
      <w:r w:rsidR="003C7F25">
        <w:t>l</w:t>
      </w:r>
      <w:r>
        <w:t xml:space="preserve">e Botswana, la République </w:t>
      </w:r>
      <w:r>
        <w:lastRenderedPageBreak/>
        <w:t>démocratique du Congo, l’Eswatini, le Lesotho, le Mozambique, la Namibie, l’Afrique du Sud, la Zambie et le Zimbabwe.</w:t>
      </w:r>
    </w:p>
    <w:p w14:paraId="116B2458" w14:textId="56C1D592" w:rsidR="00E40A60" w:rsidRPr="00E40A60" w:rsidRDefault="00E40A60" w:rsidP="00036C94">
      <w:pPr>
        <w:pStyle w:val="Heading3"/>
      </w:pPr>
      <w:r>
        <w:t xml:space="preserve">Le corridor central de transport qui passe par le Zimbabwe et la Zambie </w:t>
      </w:r>
      <w:r w:rsidR="003C7F25">
        <w:t>est</w:t>
      </w:r>
      <w:r>
        <w:t xml:space="preserve"> particulièrement important pour la région, étant donné que le réseau de l’électricité du Zimbabwe est interconnecté à tous ses voisins et fonctionne, donc, comme l’ossature pr</w:t>
      </w:r>
      <w:r w:rsidR="003C7F25">
        <w:t>i</w:t>
      </w:r>
      <w:r>
        <w:t xml:space="preserve">ncipale de l’interconnexion pour le reste de la région. La plupart des </w:t>
      </w:r>
      <w:r>
        <w:rPr>
          <w:i/>
          <w:iCs/>
        </w:rPr>
        <w:t>entreprises de services publics du SAPP</w:t>
      </w:r>
      <w:r>
        <w:t xml:space="preserve"> ont des contrats d’approvisionnement d’énergie qui utilisent ou ont besoin d’utiliser le réseau de transport du Zimbabwe à des fins de marchandage interne.</w:t>
      </w:r>
    </w:p>
    <w:p w14:paraId="07052075" w14:textId="07281A56" w:rsidR="00E40A60" w:rsidRDefault="00E40A60" w:rsidP="00E40A60">
      <w:pPr>
        <w:pStyle w:val="Heading3"/>
      </w:pPr>
      <w:r>
        <w:t xml:space="preserve">Les </w:t>
      </w:r>
      <w:r>
        <w:rPr>
          <w:i/>
          <w:iCs/>
        </w:rPr>
        <w:t>entreprises de services publics pour l’électricité</w:t>
      </w:r>
      <w:r>
        <w:t xml:space="preserve"> dans les États membres de la SADC non-insulaires, à l’exception de l’Angola, le Malawi et la République Unie de Tanzanie, sont interconnectés à travers le SAPP, leur </w:t>
      </w:r>
      <w:r w:rsidR="003C7F25">
        <w:t>permettant</w:t>
      </w:r>
      <w:r>
        <w:t xml:space="preserve"> de vendre de l’électricité les uns aux autres à travers un marché compétitif.</w:t>
      </w:r>
    </w:p>
    <w:p w14:paraId="3B9B3525" w14:textId="76184067" w:rsidR="007C58A5" w:rsidRPr="0081527D" w:rsidRDefault="0081527D" w:rsidP="00036C94">
      <w:pPr>
        <w:pStyle w:val="Heading3"/>
      </w:pPr>
      <w:r>
        <w:t xml:space="preserve">Les États insulaires des Comores, Madagascar, Maurice et Seychelles ne font pas partie du régional du </w:t>
      </w:r>
      <w:r>
        <w:rPr>
          <w:i/>
          <w:iCs/>
        </w:rPr>
        <w:t>SAPP</w:t>
      </w:r>
      <w:r>
        <w:t xml:space="preserve"> et les </w:t>
      </w:r>
      <w:r w:rsidR="003C7F25">
        <w:rPr>
          <w:i/>
          <w:iCs/>
        </w:rPr>
        <w:t>génératrices</w:t>
      </w:r>
      <w:r>
        <w:t xml:space="preserve"> et les </w:t>
      </w:r>
      <w:r>
        <w:rPr>
          <w:i/>
          <w:iCs/>
        </w:rPr>
        <w:t>utilisateurs finaux</w:t>
      </w:r>
      <w:r>
        <w:t xml:space="preserve"> sur les îles n’ont donc pas accès au marché du </w:t>
      </w:r>
      <w:r>
        <w:rPr>
          <w:i/>
          <w:iCs/>
        </w:rPr>
        <w:t>SAPP</w:t>
      </w:r>
      <w:r>
        <w:t xml:space="preserve"> ou aux réseaux interconnectés. </w:t>
      </w:r>
    </w:p>
    <w:p w14:paraId="2CC09DAD" w14:textId="3AB8EDF3" w:rsidR="004F5DC1" w:rsidRDefault="0081527D" w:rsidP="004F5DC1">
      <w:pPr>
        <w:pStyle w:val="Heading2"/>
      </w:pPr>
      <w:bookmarkStart w:id="259" w:name="_Hlk93440294"/>
      <w:bookmarkStart w:id="260" w:name="_Toc96711238"/>
      <w:r>
        <w:t>Tensions de transport</w:t>
      </w:r>
      <w:bookmarkEnd w:id="259"/>
      <w:bookmarkEnd w:id="260"/>
    </w:p>
    <w:p w14:paraId="408815FF" w14:textId="6C87CE25" w:rsidR="00FE698F" w:rsidRDefault="00FE698F" w:rsidP="00FE698F">
      <w:pPr>
        <w:pStyle w:val="Heading3"/>
      </w:pPr>
      <w:r>
        <w:t xml:space="preserve">Les niveaux de tension de courant alternatif suivants sont utilisés au sein des pays de la </w:t>
      </w:r>
      <w:r>
        <w:rPr>
          <w:i/>
          <w:iCs/>
        </w:rPr>
        <w:t>SADC</w:t>
      </w:r>
      <w:r>
        <w:t>.</w:t>
      </w:r>
    </w:p>
    <w:p w14:paraId="18BAC859" w14:textId="77777777" w:rsidR="00C31A88" w:rsidRPr="00080681" w:rsidRDefault="00C31A88" w:rsidP="00036C94">
      <w:pPr>
        <w:rPr>
          <w:lang w:val="en-GB"/>
        </w:rPr>
      </w:pPr>
    </w:p>
    <w:p w14:paraId="1EC22835" w14:textId="7663975A" w:rsidR="000A6083" w:rsidRDefault="00C31A88" w:rsidP="00036C94">
      <w:pPr>
        <w:pStyle w:val="Caption"/>
      </w:pPr>
      <w:bookmarkStart w:id="261" w:name="_Toc96072946"/>
      <w:r>
        <w:t xml:space="preserve">Tableau </w:t>
      </w:r>
      <w:r w:rsidR="00572BAD">
        <w:fldChar w:fldCharType="begin"/>
      </w:r>
      <w:r w:rsidR="00572BAD">
        <w:instrText xml:space="preserve"> SEQ Table \* ARABIC </w:instrText>
      </w:r>
      <w:r w:rsidR="00572BAD">
        <w:fldChar w:fldCharType="separate"/>
      </w:r>
      <w:r w:rsidR="009F1176">
        <w:rPr>
          <w:noProof/>
        </w:rPr>
        <w:t>1</w:t>
      </w:r>
      <w:r w:rsidR="00572BAD">
        <w:rPr>
          <w:noProof/>
        </w:rPr>
        <w:fldChar w:fldCharType="end"/>
      </w:r>
      <w:r>
        <w:t>. Tensions de transport dans les États membres de la SADC</w:t>
      </w:r>
      <w:bookmarkEnd w:id="261"/>
    </w:p>
    <w:tbl>
      <w:tblPr>
        <w:tblW w:w="8700" w:type="dxa"/>
        <w:tblLook w:val="04A0" w:firstRow="1" w:lastRow="0" w:firstColumn="1" w:lastColumn="0" w:noHBand="0" w:noVBand="1"/>
      </w:tblPr>
      <w:tblGrid>
        <w:gridCol w:w="3460"/>
        <w:gridCol w:w="5240"/>
      </w:tblGrid>
      <w:tr w:rsidR="000A6083" w:rsidRPr="000A6083" w14:paraId="7F3390A3" w14:textId="77777777" w:rsidTr="000A6083">
        <w:trPr>
          <w:trHeight w:val="276"/>
        </w:trPr>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27EEE" w14:textId="77777777" w:rsidR="000A6083" w:rsidRPr="000A6083" w:rsidRDefault="000A6083" w:rsidP="00036C94">
            <w:pPr>
              <w:spacing w:before="0" w:line="360" w:lineRule="auto"/>
              <w:contextualSpacing w:val="0"/>
              <w:jc w:val="left"/>
              <w:rPr>
                <w:rFonts w:cs="Arial"/>
                <w:b/>
                <w:bCs/>
                <w:color w:val="000000"/>
                <w:szCs w:val="22"/>
              </w:rPr>
            </w:pPr>
            <w:bookmarkStart w:id="262" w:name="_Hlk95990221"/>
            <w:r>
              <w:rPr>
                <w:b/>
                <w:bCs/>
                <w:color w:val="000000"/>
                <w:szCs w:val="22"/>
              </w:rPr>
              <w:t xml:space="preserve">Pays de la SADC </w:t>
            </w:r>
          </w:p>
        </w:tc>
        <w:tc>
          <w:tcPr>
            <w:tcW w:w="5240" w:type="dxa"/>
            <w:tcBorders>
              <w:top w:val="single" w:sz="4" w:space="0" w:color="auto"/>
              <w:left w:val="nil"/>
              <w:bottom w:val="single" w:sz="4" w:space="0" w:color="auto"/>
              <w:right w:val="single" w:sz="4" w:space="0" w:color="auto"/>
            </w:tcBorders>
            <w:shd w:val="clear" w:color="auto" w:fill="auto"/>
            <w:noWrap/>
            <w:vAlign w:val="bottom"/>
            <w:hideMark/>
          </w:tcPr>
          <w:p w14:paraId="1FCC6461" w14:textId="77777777" w:rsidR="000A6083" w:rsidRPr="000A6083" w:rsidRDefault="000A6083" w:rsidP="00036C94">
            <w:pPr>
              <w:spacing w:before="0" w:line="360" w:lineRule="auto"/>
              <w:contextualSpacing w:val="0"/>
              <w:jc w:val="left"/>
              <w:rPr>
                <w:rFonts w:cs="Arial"/>
                <w:b/>
                <w:bCs/>
                <w:color w:val="000000"/>
                <w:szCs w:val="22"/>
              </w:rPr>
            </w:pPr>
            <w:r>
              <w:rPr>
                <w:b/>
                <w:bCs/>
                <w:color w:val="000000"/>
                <w:szCs w:val="22"/>
              </w:rPr>
              <w:t xml:space="preserve">Tension </w:t>
            </w:r>
          </w:p>
        </w:tc>
      </w:tr>
      <w:tr w:rsidR="000A6083" w:rsidRPr="000A6083" w14:paraId="72C996EA" w14:textId="77777777" w:rsidTr="000A6083">
        <w:trPr>
          <w:trHeight w:val="276"/>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7840AE47" w14:textId="77777777" w:rsidR="000A6083" w:rsidRPr="000A6083" w:rsidRDefault="000A6083" w:rsidP="00036C94">
            <w:pPr>
              <w:spacing w:before="0" w:line="360" w:lineRule="auto"/>
              <w:contextualSpacing w:val="0"/>
              <w:jc w:val="left"/>
              <w:rPr>
                <w:rFonts w:cs="Arial"/>
                <w:color w:val="000000"/>
                <w:szCs w:val="22"/>
              </w:rPr>
            </w:pPr>
            <w:r>
              <w:rPr>
                <w:color w:val="000000"/>
                <w:szCs w:val="22"/>
              </w:rPr>
              <w:t xml:space="preserve">Angola </w:t>
            </w:r>
          </w:p>
        </w:tc>
        <w:tc>
          <w:tcPr>
            <w:tcW w:w="5240" w:type="dxa"/>
            <w:tcBorders>
              <w:top w:val="nil"/>
              <w:left w:val="nil"/>
              <w:bottom w:val="single" w:sz="4" w:space="0" w:color="auto"/>
              <w:right w:val="single" w:sz="4" w:space="0" w:color="auto"/>
            </w:tcBorders>
            <w:shd w:val="clear" w:color="auto" w:fill="auto"/>
            <w:vAlign w:val="bottom"/>
            <w:hideMark/>
          </w:tcPr>
          <w:p w14:paraId="646ADDBD" w14:textId="77777777" w:rsidR="000A6083" w:rsidRPr="000A6083" w:rsidRDefault="000A6083" w:rsidP="00036C94">
            <w:pPr>
              <w:spacing w:before="0" w:line="360" w:lineRule="auto"/>
              <w:contextualSpacing w:val="0"/>
              <w:jc w:val="left"/>
              <w:rPr>
                <w:rFonts w:cs="Arial"/>
                <w:color w:val="000000"/>
                <w:szCs w:val="22"/>
              </w:rPr>
            </w:pPr>
            <w:r>
              <w:rPr>
                <w:color w:val="000000"/>
                <w:szCs w:val="22"/>
              </w:rPr>
              <w:t>220 kV et 400 kV</w:t>
            </w:r>
          </w:p>
        </w:tc>
      </w:tr>
      <w:tr w:rsidR="000A6083" w:rsidRPr="000A6083" w14:paraId="0F5C418A" w14:textId="77777777" w:rsidTr="000A6083">
        <w:trPr>
          <w:trHeight w:val="276"/>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3AAF877E" w14:textId="77777777" w:rsidR="000A6083" w:rsidRPr="000A6083" w:rsidRDefault="000A6083" w:rsidP="00036C94">
            <w:pPr>
              <w:spacing w:before="0" w:line="360" w:lineRule="auto"/>
              <w:contextualSpacing w:val="0"/>
              <w:jc w:val="left"/>
              <w:rPr>
                <w:rFonts w:cs="Arial"/>
                <w:color w:val="000000"/>
                <w:szCs w:val="22"/>
              </w:rPr>
            </w:pPr>
            <w:r>
              <w:rPr>
                <w:color w:val="000000"/>
                <w:szCs w:val="22"/>
              </w:rPr>
              <w:t>Botswana</w:t>
            </w:r>
          </w:p>
        </w:tc>
        <w:tc>
          <w:tcPr>
            <w:tcW w:w="5240" w:type="dxa"/>
            <w:tcBorders>
              <w:top w:val="nil"/>
              <w:left w:val="nil"/>
              <w:bottom w:val="single" w:sz="4" w:space="0" w:color="auto"/>
              <w:right w:val="single" w:sz="4" w:space="0" w:color="auto"/>
            </w:tcBorders>
            <w:shd w:val="clear" w:color="auto" w:fill="auto"/>
            <w:vAlign w:val="bottom"/>
            <w:hideMark/>
          </w:tcPr>
          <w:p w14:paraId="7AEDC99B" w14:textId="03DBE886" w:rsidR="000A6083" w:rsidRPr="000A6083" w:rsidRDefault="00E70AC0" w:rsidP="00036C94">
            <w:pPr>
              <w:spacing w:before="0" w:line="360" w:lineRule="auto"/>
              <w:contextualSpacing w:val="0"/>
              <w:jc w:val="left"/>
              <w:rPr>
                <w:rFonts w:cs="Arial"/>
                <w:color w:val="000000"/>
                <w:szCs w:val="22"/>
              </w:rPr>
            </w:pPr>
            <w:r>
              <w:rPr>
                <w:color w:val="000000"/>
                <w:szCs w:val="22"/>
              </w:rPr>
              <w:t>132 kV, 220 kV, 400 kV</w:t>
            </w:r>
          </w:p>
        </w:tc>
      </w:tr>
      <w:tr w:rsidR="000A6083" w:rsidRPr="000A6083" w14:paraId="672B1A6A" w14:textId="77777777" w:rsidTr="000A6083">
        <w:trPr>
          <w:trHeight w:val="276"/>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614AF2EB" w14:textId="77777777" w:rsidR="000A6083" w:rsidRPr="000A6083" w:rsidRDefault="000A6083" w:rsidP="00036C94">
            <w:pPr>
              <w:spacing w:before="0" w:line="360" w:lineRule="auto"/>
              <w:contextualSpacing w:val="0"/>
              <w:jc w:val="left"/>
              <w:rPr>
                <w:rFonts w:cs="Arial"/>
                <w:color w:val="000000"/>
                <w:szCs w:val="22"/>
              </w:rPr>
            </w:pPr>
            <w:r>
              <w:rPr>
                <w:color w:val="000000"/>
                <w:szCs w:val="22"/>
              </w:rPr>
              <w:t>Comores</w:t>
            </w:r>
          </w:p>
        </w:tc>
        <w:tc>
          <w:tcPr>
            <w:tcW w:w="5240" w:type="dxa"/>
            <w:tcBorders>
              <w:top w:val="nil"/>
              <w:left w:val="nil"/>
              <w:bottom w:val="single" w:sz="4" w:space="0" w:color="auto"/>
              <w:right w:val="single" w:sz="4" w:space="0" w:color="auto"/>
            </w:tcBorders>
            <w:shd w:val="clear" w:color="auto" w:fill="auto"/>
            <w:vAlign w:val="bottom"/>
            <w:hideMark/>
          </w:tcPr>
          <w:p w14:paraId="13560C86" w14:textId="77777777" w:rsidR="000A6083" w:rsidRPr="000A6083" w:rsidRDefault="000A6083" w:rsidP="00036C94">
            <w:pPr>
              <w:spacing w:before="0" w:line="360" w:lineRule="auto"/>
              <w:contextualSpacing w:val="0"/>
              <w:jc w:val="left"/>
              <w:rPr>
                <w:rFonts w:cs="Arial"/>
                <w:color w:val="000000"/>
                <w:szCs w:val="22"/>
              </w:rPr>
            </w:pPr>
            <w:r>
              <w:rPr>
                <w:color w:val="000000"/>
                <w:szCs w:val="22"/>
              </w:rPr>
              <w:t>20 kV</w:t>
            </w:r>
          </w:p>
        </w:tc>
      </w:tr>
      <w:tr w:rsidR="000A6083" w:rsidRPr="000A6083" w14:paraId="0E7B761A" w14:textId="77777777" w:rsidTr="00036C94">
        <w:trPr>
          <w:trHeight w:val="276"/>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7BA13503" w14:textId="4136D400" w:rsidR="000A6083" w:rsidRPr="000A6083" w:rsidRDefault="000A6083" w:rsidP="00036C94">
            <w:pPr>
              <w:spacing w:before="0" w:line="360" w:lineRule="auto"/>
              <w:contextualSpacing w:val="0"/>
              <w:jc w:val="left"/>
              <w:rPr>
                <w:rFonts w:cs="Arial"/>
                <w:color w:val="000000"/>
                <w:szCs w:val="22"/>
              </w:rPr>
            </w:pPr>
            <w:r>
              <w:rPr>
                <w:color w:val="000000"/>
                <w:szCs w:val="22"/>
              </w:rPr>
              <w:t>République Démocratique du Congo (RDC)</w:t>
            </w:r>
          </w:p>
        </w:tc>
        <w:tc>
          <w:tcPr>
            <w:tcW w:w="5240" w:type="dxa"/>
            <w:tcBorders>
              <w:top w:val="nil"/>
              <w:left w:val="nil"/>
              <w:bottom w:val="single" w:sz="4" w:space="0" w:color="auto"/>
              <w:right w:val="single" w:sz="4" w:space="0" w:color="auto"/>
            </w:tcBorders>
            <w:shd w:val="clear" w:color="auto" w:fill="auto"/>
            <w:hideMark/>
          </w:tcPr>
          <w:p w14:paraId="727BB27E" w14:textId="77777777" w:rsidR="000A6083" w:rsidRPr="000A6083" w:rsidRDefault="000A6083" w:rsidP="00036C94">
            <w:pPr>
              <w:spacing w:before="0" w:line="360" w:lineRule="auto"/>
              <w:contextualSpacing w:val="0"/>
              <w:jc w:val="left"/>
              <w:rPr>
                <w:rFonts w:cs="Arial"/>
                <w:color w:val="000000"/>
                <w:szCs w:val="22"/>
              </w:rPr>
            </w:pPr>
            <w:r>
              <w:rPr>
                <w:color w:val="000000"/>
                <w:szCs w:val="22"/>
              </w:rPr>
              <w:t>225 kV et 400 kV</w:t>
            </w:r>
          </w:p>
        </w:tc>
      </w:tr>
      <w:tr w:rsidR="000A6083" w:rsidRPr="000A6083" w14:paraId="663B362A" w14:textId="77777777" w:rsidTr="000A6083">
        <w:trPr>
          <w:trHeight w:val="276"/>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316E6D55" w14:textId="77777777" w:rsidR="000A6083" w:rsidRPr="000A6083" w:rsidRDefault="000A6083" w:rsidP="00036C94">
            <w:pPr>
              <w:spacing w:before="0" w:line="360" w:lineRule="auto"/>
              <w:contextualSpacing w:val="0"/>
              <w:jc w:val="left"/>
              <w:rPr>
                <w:rFonts w:cs="Arial"/>
                <w:color w:val="000000"/>
                <w:szCs w:val="22"/>
              </w:rPr>
            </w:pPr>
            <w:r>
              <w:rPr>
                <w:color w:val="000000"/>
                <w:szCs w:val="22"/>
              </w:rPr>
              <w:t>Eswatini</w:t>
            </w:r>
          </w:p>
        </w:tc>
        <w:tc>
          <w:tcPr>
            <w:tcW w:w="5240" w:type="dxa"/>
            <w:tcBorders>
              <w:top w:val="nil"/>
              <w:left w:val="nil"/>
              <w:bottom w:val="single" w:sz="4" w:space="0" w:color="auto"/>
              <w:right w:val="single" w:sz="4" w:space="0" w:color="auto"/>
            </w:tcBorders>
            <w:shd w:val="clear" w:color="auto" w:fill="auto"/>
            <w:vAlign w:val="bottom"/>
            <w:hideMark/>
          </w:tcPr>
          <w:p w14:paraId="74651DF5" w14:textId="77777777" w:rsidR="000A6083" w:rsidRPr="000A6083" w:rsidRDefault="000A6083" w:rsidP="00036C94">
            <w:pPr>
              <w:spacing w:before="0" w:line="360" w:lineRule="auto"/>
              <w:contextualSpacing w:val="0"/>
              <w:jc w:val="left"/>
              <w:rPr>
                <w:rFonts w:cs="Arial"/>
                <w:color w:val="000000"/>
                <w:szCs w:val="22"/>
              </w:rPr>
            </w:pPr>
            <w:r>
              <w:rPr>
                <w:color w:val="000000"/>
                <w:szCs w:val="22"/>
              </w:rPr>
              <w:t>66 kV à 400 kV</w:t>
            </w:r>
          </w:p>
        </w:tc>
      </w:tr>
      <w:tr w:rsidR="000A6083" w:rsidRPr="000A6083" w14:paraId="3B82535B" w14:textId="77777777" w:rsidTr="000A6083">
        <w:trPr>
          <w:trHeight w:val="276"/>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0899D456" w14:textId="77777777" w:rsidR="000A6083" w:rsidRPr="000A6083" w:rsidRDefault="000A6083" w:rsidP="00036C94">
            <w:pPr>
              <w:spacing w:before="0" w:line="360" w:lineRule="auto"/>
              <w:contextualSpacing w:val="0"/>
              <w:jc w:val="left"/>
              <w:rPr>
                <w:rFonts w:cs="Arial"/>
                <w:color w:val="000000"/>
                <w:szCs w:val="22"/>
              </w:rPr>
            </w:pPr>
            <w:r>
              <w:rPr>
                <w:color w:val="000000"/>
                <w:szCs w:val="22"/>
              </w:rPr>
              <w:t>Lesotho</w:t>
            </w:r>
          </w:p>
        </w:tc>
        <w:tc>
          <w:tcPr>
            <w:tcW w:w="5240" w:type="dxa"/>
            <w:tcBorders>
              <w:top w:val="nil"/>
              <w:left w:val="nil"/>
              <w:bottom w:val="single" w:sz="4" w:space="0" w:color="auto"/>
              <w:right w:val="single" w:sz="4" w:space="0" w:color="auto"/>
            </w:tcBorders>
            <w:shd w:val="clear" w:color="auto" w:fill="auto"/>
            <w:vAlign w:val="bottom"/>
            <w:hideMark/>
          </w:tcPr>
          <w:p w14:paraId="10738A03" w14:textId="77777777" w:rsidR="000A6083" w:rsidRPr="000A6083" w:rsidRDefault="000A6083" w:rsidP="00036C94">
            <w:pPr>
              <w:spacing w:before="0" w:line="360" w:lineRule="auto"/>
              <w:contextualSpacing w:val="0"/>
              <w:jc w:val="left"/>
              <w:rPr>
                <w:rFonts w:cs="Arial"/>
                <w:color w:val="000000"/>
                <w:szCs w:val="22"/>
              </w:rPr>
            </w:pPr>
            <w:r>
              <w:rPr>
                <w:color w:val="000000"/>
                <w:szCs w:val="22"/>
              </w:rPr>
              <w:t>33 kV, 66 kV, 88kV et 132 kV</w:t>
            </w:r>
          </w:p>
        </w:tc>
      </w:tr>
      <w:tr w:rsidR="000A6083" w:rsidRPr="000A6083" w14:paraId="3EDA0BA2" w14:textId="77777777" w:rsidTr="000A6083">
        <w:trPr>
          <w:trHeight w:val="276"/>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11C4A1BA" w14:textId="77777777" w:rsidR="000A6083" w:rsidRPr="000A6083" w:rsidRDefault="000A6083" w:rsidP="00036C94">
            <w:pPr>
              <w:spacing w:before="0" w:line="360" w:lineRule="auto"/>
              <w:contextualSpacing w:val="0"/>
              <w:jc w:val="left"/>
              <w:rPr>
                <w:rFonts w:cs="Arial"/>
                <w:color w:val="000000"/>
                <w:szCs w:val="22"/>
              </w:rPr>
            </w:pPr>
            <w:r>
              <w:rPr>
                <w:color w:val="000000"/>
                <w:szCs w:val="22"/>
              </w:rPr>
              <w:t>Madagascar</w:t>
            </w:r>
          </w:p>
        </w:tc>
        <w:tc>
          <w:tcPr>
            <w:tcW w:w="5240" w:type="dxa"/>
            <w:tcBorders>
              <w:top w:val="nil"/>
              <w:left w:val="nil"/>
              <w:bottom w:val="single" w:sz="4" w:space="0" w:color="auto"/>
              <w:right w:val="single" w:sz="4" w:space="0" w:color="auto"/>
            </w:tcBorders>
            <w:shd w:val="clear" w:color="auto" w:fill="auto"/>
            <w:vAlign w:val="bottom"/>
            <w:hideMark/>
          </w:tcPr>
          <w:p w14:paraId="3F7D23FA" w14:textId="2CAD99C6" w:rsidR="000A6083" w:rsidRPr="000A6083" w:rsidRDefault="004C4AA7" w:rsidP="00036C94">
            <w:pPr>
              <w:spacing w:before="0" w:line="360" w:lineRule="auto"/>
              <w:contextualSpacing w:val="0"/>
              <w:jc w:val="left"/>
              <w:rPr>
                <w:rFonts w:cs="Arial"/>
                <w:color w:val="000000"/>
                <w:szCs w:val="22"/>
              </w:rPr>
            </w:pPr>
            <w:r>
              <w:rPr>
                <w:color w:val="000000"/>
                <w:szCs w:val="22"/>
              </w:rPr>
              <w:t>63 kV, 90 kV, 138 kV et 220 kV</w:t>
            </w:r>
          </w:p>
        </w:tc>
      </w:tr>
      <w:tr w:rsidR="000A6083" w:rsidRPr="000A6083" w14:paraId="518304A6" w14:textId="77777777" w:rsidTr="000A6083">
        <w:trPr>
          <w:trHeight w:val="276"/>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4DFD0936" w14:textId="77777777" w:rsidR="000A6083" w:rsidRPr="000A6083" w:rsidRDefault="000A6083" w:rsidP="00036C94">
            <w:pPr>
              <w:spacing w:before="0" w:line="360" w:lineRule="auto"/>
              <w:contextualSpacing w:val="0"/>
              <w:jc w:val="left"/>
              <w:rPr>
                <w:rFonts w:cs="Arial"/>
                <w:color w:val="000000"/>
                <w:szCs w:val="22"/>
              </w:rPr>
            </w:pPr>
            <w:r>
              <w:rPr>
                <w:color w:val="000000"/>
                <w:szCs w:val="22"/>
              </w:rPr>
              <w:t>Malawi</w:t>
            </w:r>
          </w:p>
        </w:tc>
        <w:tc>
          <w:tcPr>
            <w:tcW w:w="5240" w:type="dxa"/>
            <w:tcBorders>
              <w:top w:val="nil"/>
              <w:left w:val="nil"/>
              <w:bottom w:val="single" w:sz="4" w:space="0" w:color="auto"/>
              <w:right w:val="single" w:sz="4" w:space="0" w:color="auto"/>
            </w:tcBorders>
            <w:shd w:val="clear" w:color="auto" w:fill="auto"/>
            <w:vAlign w:val="bottom"/>
            <w:hideMark/>
          </w:tcPr>
          <w:p w14:paraId="7F5741C4" w14:textId="0EBF93B8" w:rsidR="000A6083" w:rsidRPr="000A6083" w:rsidRDefault="000A6083" w:rsidP="00036C94">
            <w:pPr>
              <w:spacing w:before="0" w:line="360" w:lineRule="auto"/>
              <w:contextualSpacing w:val="0"/>
              <w:jc w:val="left"/>
              <w:rPr>
                <w:rFonts w:cs="Arial"/>
                <w:color w:val="000000"/>
                <w:szCs w:val="22"/>
              </w:rPr>
            </w:pPr>
            <w:r>
              <w:rPr>
                <w:color w:val="000000"/>
                <w:szCs w:val="22"/>
              </w:rPr>
              <w:t>66 kV et 132 kV</w:t>
            </w:r>
          </w:p>
        </w:tc>
      </w:tr>
      <w:tr w:rsidR="000A6083" w:rsidRPr="000A6083" w14:paraId="05B649D5" w14:textId="77777777" w:rsidTr="000A6083">
        <w:trPr>
          <w:trHeight w:val="276"/>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2A56254E" w14:textId="77777777" w:rsidR="000A6083" w:rsidRPr="000A6083" w:rsidRDefault="000A6083" w:rsidP="00036C94">
            <w:pPr>
              <w:spacing w:before="0" w:line="360" w:lineRule="auto"/>
              <w:contextualSpacing w:val="0"/>
              <w:jc w:val="left"/>
              <w:rPr>
                <w:rFonts w:cs="Arial"/>
                <w:color w:val="000000"/>
                <w:szCs w:val="22"/>
              </w:rPr>
            </w:pPr>
            <w:r>
              <w:rPr>
                <w:color w:val="000000"/>
                <w:szCs w:val="22"/>
              </w:rPr>
              <w:t>Maurice</w:t>
            </w:r>
          </w:p>
        </w:tc>
        <w:tc>
          <w:tcPr>
            <w:tcW w:w="5240" w:type="dxa"/>
            <w:tcBorders>
              <w:top w:val="nil"/>
              <w:left w:val="nil"/>
              <w:bottom w:val="single" w:sz="4" w:space="0" w:color="auto"/>
              <w:right w:val="single" w:sz="4" w:space="0" w:color="auto"/>
            </w:tcBorders>
            <w:shd w:val="clear" w:color="auto" w:fill="auto"/>
            <w:vAlign w:val="bottom"/>
            <w:hideMark/>
          </w:tcPr>
          <w:p w14:paraId="45E1E260" w14:textId="77777777" w:rsidR="000A6083" w:rsidRPr="000A6083" w:rsidRDefault="000A6083" w:rsidP="00036C94">
            <w:pPr>
              <w:spacing w:before="0" w:line="360" w:lineRule="auto"/>
              <w:contextualSpacing w:val="0"/>
              <w:jc w:val="left"/>
              <w:rPr>
                <w:rFonts w:cs="Arial"/>
                <w:color w:val="000000"/>
                <w:szCs w:val="22"/>
              </w:rPr>
            </w:pPr>
            <w:r>
              <w:rPr>
                <w:color w:val="000000"/>
                <w:szCs w:val="22"/>
              </w:rPr>
              <w:t>22 kV et 66 kV</w:t>
            </w:r>
          </w:p>
        </w:tc>
      </w:tr>
      <w:tr w:rsidR="000A6083" w:rsidRPr="000A6083" w14:paraId="3C0B024D" w14:textId="77777777" w:rsidTr="000A6083">
        <w:trPr>
          <w:trHeight w:val="276"/>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3D3B1266" w14:textId="77777777" w:rsidR="000A6083" w:rsidRPr="000A6083" w:rsidRDefault="000A6083" w:rsidP="00036C94">
            <w:pPr>
              <w:spacing w:before="0" w:line="360" w:lineRule="auto"/>
              <w:contextualSpacing w:val="0"/>
              <w:jc w:val="left"/>
              <w:rPr>
                <w:rFonts w:cs="Arial"/>
                <w:color w:val="000000"/>
                <w:szCs w:val="22"/>
              </w:rPr>
            </w:pPr>
            <w:r>
              <w:rPr>
                <w:color w:val="000000"/>
                <w:szCs w:val="22"/>
              </w:rPr>
              <w:t>Mozambique</w:t>
            </w:r>
          </w:p>
        </w:tc>
        <w:tc>
          <w:tcPr>
            <w:tcW w:w="5240" w:type="dxa"/>
            <w:tcBorders>
              <w:top w:val="nil"/>
              <w:left w:val="nil"/>
              <w:bottom w:val="single" w:sz="4" w:space="0" w:color="auto"/>
              <w:right w:val="single" w:sz="4" w:space="0" w:color="auto"/>
            </w:tcBorders>
            <w:shd w:val="clear" w:color="auto" w:fill="auto"/>
            <w:vAlign w:val="bottom"/>
            <w:hideMark/>
          </w:tcPr>
          <w:p w14:paraId="1E3D985E" w14:textId="14AAB40D" w:rsidR="000A6083" w:rsidRPr="000A6083" w:rsidRDefault="00C36842" w:rsidP="00036C94">
            <w:pPr>
              <w:spacing w:before="0" w:line="360" w:lineRule="auto"/>
              <w:contextualSpacing w:val="0"/>
              <w:jc w:val="left"/>
              <w:rPr>
                <w:rFonts w:cs="Arial"/>
                <w:color w:val="000000"/>
                <w:szCs w:val="22"/>
              </w:rPr>
            </w:pPr>
            <w:r>
              <w:rPr>
                <w:color w:val="000000"/>
                <w:szCs w:val="22"/>
              </w:rPr>
              <w:t>66 kV, 110 kV, 220 kV, 275 kV, 400kV</w:t>
            </w:r>
          </w:p>
        </w:tc>
      </w:tr>
      <w:tr w:rsidR="000A6083" w:rsidRPr="000A6083" w14:paraId="1038158E" w14:textId="77777777" w:rsidTr="000A6083">
        <w:trPr>
          <w:trHeight w:val="276"/>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0D6407A3" w14:textId="77777777" w:rsidR="000A6083" w:rsidRPr="000A6083" w:rsidRDefault="000A6083" w:rsidP="00036C94">
            <w:pPr>
              <w:spacing w:before="0" w:line="360" w:lineRule="auto"/>
              <w:contextualSpacing w:val="0"/>
              <w:jc w:val="left"/>
              <w:rPr>
                <w:rFonts w:cs="Arial"/>
                <w:color w:val="000000"/>
                <w:szCs w:val="22"/>
              </w:rPr>
            </w:pPr>
            <w:r>
              <w:rPr>
                <w:color w:val="000000"/>
                <w:szCs w:val="22"/>
              </w:rPr>
              <w:t>Namibie</w:t>
            </w:r>
          </w:p>
        </w:tc>
        <w:tc>
          <w:tcPr>
            <w:tcW w:w="5240" w:type="dxa"/>
            <w:tcBorders>
              <w:top w:val="nil"/>
              <w:left w:val="nil"/>
              <w:bottom w:val="single" w:sz="4" w:space="0" w:color="auto"/>
              <w:right w:val="single" w:sz="4" w:space="0" w:color="auto"/>
            </w:tcBorders>
            <w:shd w:val="clear" w:color="auto" w:fill="auto"/>
            <w:vAlign w:val="bottom"/>
            <w:hideMark/>
          </w:tcPr>
          <w:p w14:paraId="5185AC84" w14:textId="3F5C9A42" w:rsidR="000A6083" w:rsidRPr="000A6083" w:rsidRDefault="000A6083" w:rsidP="00036C94">
            <w:pPr>
              <w:spacing w:before="0" w:line="360" w:lineRule="auto"/>
              <w:contextualSpacing w:val="0"/>
              <w:jc w:val="left"/>
              <w:rPr>
                <w:rFonts w:cs="Arial"/>
                <w:color w:val="000000"/>
                <w:szCs w:val="22"/>
              </w:rPr>
            </w:pPr>
            <w:r>
              <w:rPr>
                <w:color w:val="000000"/>
                <w:szCs w:val="22"/>
              </w:rPr>
              <w:t>132 kV, 220 kV, 330 kV, 350 kV et 400 kV</w:t>
            </w:r>
          </w:p>
        </w:tc>
      </w:tr>
      <w:tr w:rsidR="000A6083" w:rsidRPr="000A6083" w14:paraId="2612F243" w14:textId="77777777" w:rsidTr="000A6083">
        <w:trPr>
          <w:trHeight w:val="276"/>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529F94A5" w14:textId="77777777" w:rsidR="000A6083" w:rsidRPr="000A6083" w:rsidRDefault="000A6083" w:rsidP="00036C94">
            <w:pPr>
              <w:spacing w:before="0" w:line="360" w:lineRule="auto"/>
              <w:contextualSpacing w:val="0"/>
              <w:jc w:val="left"/>
              <w:rPr>
                <w:rFonts w:cs="Arial"/>
                <w:color w:val="000000"/>
                <w:szCs w:val="22"/>
              </w:rPr>
            </w:pPr>
            <w:r>
              <w:rPr>
                <w:color w:val="000000"/>
                <w:szCs w:val="22"/>
              </w:rPr>
              <w:t>Seychelles</w:t>
            </w:r>
          </w:p>
        </w:tc>
        <w:tc>
          <w:tcPr>
            <w:tcW w:w="5240" w:type="dxa"/>
            <w:tcBorders>
              <w:top w:val="nil"/>
              <w:left w:val="nil"/>
              <w:bottom w:val="single" w:sz="4" w:space="0" w:color="auto"/>
              <w:right w:val="single" w:sz="4" w:space="0" w:color="auto"/>
            </w:tcBorders>
            <w:shd w:val="clear" w:color="auto" w:fill="auto"/>
            <w:vAlign w:val="bottom"/>
            <w:hideMark/>
          </w:tcPr>
          <w:p w14:paraId="4F165049" w14:textId="77777777" w:rsidR="000A6083" w:rsidRPr="000A6083" w:rsidRDefault="000A6083" w:rsidP="00036C94">
            <w:pPr>
              <w:spacing w:before="0" w:line="360" w:lineRule="auto"/>
              <w:contextualSpacing w:val="0"/>
              <w:jc w:val="left"/>
              <w:rPr>
                <w:rFonts w:cs="Arial"/>
                <w:color w:val="000000"/>
                <w:szCs w:val="22"/>
              </w:rPr>
            </w:pPr>
            <w:r>
              <w:rPr>
                <w:color w:val="000000"/>
                <w:szCs w:val="22"/>
              </w:rPr>
              <w:t>11 kV et 33 kV</w:t>
            </w:r>
          </w:p>
        </w:tc>
      </w:tr>
      <w:tr w:rsidR="000A6083" w:rsidRPr="000A6083" w14:paraId="350F5015" w14:textId="77777777" w:rsidTr="00036C94">
        <w:trPr>
          <w:trHeight w:val="552"/>
        </w:trPr>
        <w:tc>
          <w:tcPr>
            <w:tcW w:w="3460" w:type="dxa"/>
            <w:tcBorders>
              <w:top w:val="nil"/>
              <w:left w:val="single" w:sz="4" w:space="0" w:color="auto"/>
              <w:bottom w:val="single" w:sz="4" w:space="0" w:color="auto"/>
              <w:right w:val="single" w:sz="4" w:space="0" w:color="auto"/>
            </w:tcBorders>
            <w:shd w:val="clear" w:color="auto" w:fill="auto"/>
            <w:noWrap/>
            <w:hideMark/>
          </w:tcPr>
          <w:p w14:paraId="3FE4C3D7" w14:textId="77777777" w:rsidR="000A6083" w:rsidRPr="000A6083" w:rsidRDefault="000A6083" w:rsidP="00036C94">
            <w:pPr>
              <w:spacing w:before="0" w:line="360" w:lineRule="auto"/>
              <w:contextualSpacing w:val="0"/>
              <w:jc w:val="left"/>
              <w:rPr>
                <w:rFonts w:cs="Arial"/>
                <w:color w:val="000000"/>
                <w:szCs w:val="22"/>
              </w:rPr>
            </w:pPr>
            <w:r>
              <w:rPr>
                <w:color w:val="000000"/>
                <w:szCs w:val="22"/>
              </w:rPr>
              <w:t>Afrique du Sud</w:t>
            </w:r>
          </w:p>
        </w:tc>
        <w:tc>
          <w:tcPr>
            <w:tcW w:w="5240" w:type="dxa"/>
            <w:tcBorders>
              <w:top w:val="nil"/>
              <w:left w:val="nil"/>
              <w:bottom w:val="single" w:sz="4" w:space="0" w:color="auto"/>
              <w:right w:val="single" w:sz="4" w:space="0" w:color="auto"/>
            </w:tcBorders>
            <w:shd w:val="clear" w:color="auto" w:fill="auto"/>
            <w:vAlign w:val="bottom"/>
            <w:hideMark/>
          </w:tcPr>
          <w:p w14:paraId="4639DE3B" w14:textId="73CA0061" w:rsidR="000A6083" w:rsidRPr="000A6083" w:rsidRDefault="000A6083" w:rsidP="00036C94">
            <w:pPr>
              <w:spacing w:before="0" w:line="360" w:lineRule="auto"/>
              <w:contextualSpacing w:val="0"/>
              <w:jc w:val="left"/>
              <w:rPr>
                <w:rFonts w:cs="Arial"/>
                <w:color w:val="000000"/>
                <w:szCs w:val="22"/>
              </w:rPr>
            </w:pPr>
            <w:r>
              <w:rPr>
                <w:color w:val="000000"/>
                <w:szCs w:val="22"/>
              </w:rPr>
              <w:t>132 kV, 132 kV, 220 kV, 330 kV, 400 kV 500 kV et 765 kV</w:t>
            </w:r>
          </w:p>
        </w:tc>
      </w:tr>
      <w:tr w:rsidR="000A6083" w:rsidRPr="000A6083" w14:paraId="55BC8C80" w14:textId="77777777" w:rsidTr="000A6083">
        <w:trPr>
          <w:trHeight w:val="276"/>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277FF685" w14:textId="77777777" w:rsidR="000A6083" w:rsidRPr="000A6083" w:rsidRDefault="000A6083" w:rsidP="00036C94">
            <w:pPr>
              <w:spacing w:before="0" w:line="360" w:lineRule="auto"/>
              <w:contextualSpacing w:val="0"/>
              <w:jc w:val="left"/>
              <w:rPr>
                <w:rFonts w:cs="Arial"/>
                <w:color w:val="000000"/>
                <w:szCs w:val="22"/>
              </w:rPr>
            </w:pPr>
            <w:r>
              <w:rPr>
                <w:color w:val="000000"/>
                <w:szCs w:val="22"/>
              </w:rPr>
              <w:lastRenderedPageBreak/>
              <w:t>République Unie de Tanzanie</w:t>
            </w:r>
          </w:p>
        </w:tc>
        <w:tc>
          <w:tcPr>
            <w:tcW w:w="5240" w:type="dxa"/>
            <w:tcBorders>
              <w:top w:val="nil"/>
              <w:left w:val="nil"/>
              <w:bottom w:val="single" w:sz="4" w:space="0" w:color="auto"/>
              <w:right w:val="single" w:sz="4" w:space="0" w:color="auto"/>
            </w:tcBorders>
            <w:shd w:val="clear" w:color="auto" w:fill="auto"/>
            <w:vAlign w:val="bottom"/>
            <w:hideMark/>
          </w:tcPr>
          <w:p w14:paraId="73210B54" w14:textId="1D6E89B9" w:rsidR="000A6083" w:rsidRPr="000A6083" w:rsidRDefault="000A6083" w:rsidP="00036C94">
            <w:pPr>
              <w:spacing w:before="0" w:line="360" w:lineRule="auto"/>
              <w:contextualSpacing w:val="0"/>
              <w:jc w:val="left"/>
              <w:rPr>
                <w:rFonts w:cs="Arial"/>
                <w:color w:val="000000"/>
                <w:szCs w:val="22"/>
              </w:rPr>
            </w:pPr>
            <w:r>
              <w:rPr>
                <w:color w:val="000000"/>
                <w:szCs w:val="22"/>
              </w:rPr>
              <w:t>66 kV, 132 kV, 220 kV et 330 kV</w:t>
            </w:r>
          </w:p>
        </w:tc>
      </w:tr>
      <w:tr w:rsidR="000A6083" w:rsidRPr="000A6083" w14:paraId="48D15F41" w14:textId="77777777" w:rsidTr="000A6083">
        <w:trPr>
          <w:trHeight w:val="276"/>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14:paraId="3D66F56C" w14:textId="77777777" w:rsidR="000A6083" w:rsidRPr="000A6083" w:rsidRDefault="000A6083" w:rsidP="00036C94">
            <w:pPr>
              <w:spacing w:before="0" w:line="360" w:lineRule="auto"/>
              <w:contextualSpacing w:val="0"/>
              <w:jc w:val="left"/>
              <w:rPr>
                <w:rFonts w:cs="Arial"/>
                <w:color w:val="000000"/>
                <w:szCs w:val="22"/>
              </w:rPr>
            </w:pPr>
            <w:r>
              <w:rPr>
                <w:color w:val="000000"/>
                <w:szCs w:val="22"/>
              </w:rPr>
              <w:t>Zambie</w:t>
            </w:r>
          </w:p>
        </w:tc>
        <w:tc>
          <w:tcPr>
            <w:tcW w:w="5240" w:type="dxa"/>
            <w:tcBorders>
              <w:top w:val="nil"/>
              <w:left w:val="nil"/>
              <w:bottom w:val="single" w:sz="4" w:space="0" w:color="auto"/>
              <w:right w:val="single" w:sz="4" w:space="0" w:color="auto"/>
            </w:tcBorders>
            <w:shd w:val="clear" w:color="auto" w:fill="auto"/>
            <w:vAlign w:val="bottom"/>
            <w:hideMark/>
          </w:tcPr>
          <w:p w14:paraId="31E211CB" w14:textId="77777777" w:rsidR="000A6083" w:rsidRPr="000A6083" w:rsidRDefault="000A6083" w:rsidP="00036C94">
            <w:pPr>
              <w:spacing w:before="0" w:line="360" w:lineRule="auto"/>
              <w:contextualSpacing w:val="0"/>
              <w:jc w:val="left"/>
              <w:rPr>
                <w:rFonts w:cs="Arial"/>
                <w:color w:val="000000"/>
                <w:szCs w:val="22"/>
              </w:rPr>
            </w:pPr>
            <w:r>
              <w:rPr>
                <w:color w:val="000000"/>
                <w:szCs w:val="22"/>
              </w:rPr>
              <w:t>132 kV et 330 kV</w:t>
            </w:r>
          </w:p>
        </w:tc>
      </w:tr>
      <w:tr w:rsidR="000A6083" w:rsidRPr="000A6083" w14:paraId="0A82D438" w14:textId="77777777" w:rsidTr="00036C94">
        <w:trPr>
          <w:trHeight w:val="552"/>
        </w:trPr>
        <w:tc>
          <w:tcPr>
            <w:tcW w:w="3460" w:type="dxa"/>
            <w:tcBorders>
              <w:top w:val="nil"/>
              <w:left w:val="single" w:sz="4" w:space="0" w:color="auto"/>
              <w:bottom w:val="single" w:sz="4" w:space="0" w:color="auto"/>
              <w:right w:val="single" w:sz="4" w:space="0" w:color="auto"/>
            </w:tcBorders>
            <w:shd w:val="clear" w:color="auto" w:fill="auto"/>
            <w:noWrap/>
            <w:hideMark/>
          </w:tcPr>
          <w:p w14:paraId="23401788" w14:textId="77777777" w:rsidR="000A6083" w:rsidRPr="000A6083" w:rsidRDefault="000A6083" w:rsidP="00036C94">
            <w:pPr>
              <w:spacing w:before="0" w:line="360" w:lineRule="auto"/>
              <w:contextualSpacing w:val="0"/>
              <w:jc w:val="left"/>
              <w:rPr>
                <w:rFonts w:cs="Arial"/>
                <w:color w:val="000000"/>
                <w:szCs w:val="22"/>
              </w:rPr>
            </w:pPr>
            <w:r>
              <w:rPr>
                <w:color w:val="000000"/>
                <w:szCs w:val="22"/>
              </w:rPr>
              <w:t>Zimbabwe</w:t>
            </w:r>
          </w:p>
        </w:tc>
        <w:tc>
          <w:tcPr>
            <w:tcW w:w="5240" w:type="dxa"/>
            <w:tcBorders>
              <w:top w:val="nil"/>
              <w:left w:val="nil"/>
              <w:bottom w:val="single" w:sz="4" w:space="0" w:color="auto"/>
              <w:right w:val="single" w:sz="4" w:space="0" w:color="auto"/>
            </w:tcBorders>
            <w:shd w:val="clear" w:color="auto" w:fill="auto"/>
            <w:vAlign w:val="bottom"/>
            <w:hideMark/>
          </w:tcPr>
          <w:p w14:paraId="6CD38ADB" w14:textId="4786EDAE" w:rsidR="000A6083" w:rsidRPr="000A6083" w:rsidRDefault="008D54DF" w:rsidP="00036C94">
            <w:pPr>
              <w:spacing w:before="0" w:line="360" w:lineRule="auto"/>
              <w:contextualSpacing w:val="0"/>
              <w:jc w:val="left"/>
              <w:rPr>
                <w:rFonts w:cs="Arial"/>
                <w:color w:val="000000"/>
                <w:szCs w:val="22"/>
              </w:rPr>
            </w:pPr>
            <w:r>
              <w:rPr>
                <w:color w:val="000000"/>
                <w:szCs w:val="22"/>
              </w:rPr>
              <w:t xml:space="preserve">110 kV, 220 kV, 330 kV, 400 kV </w:t>
            </w:r>
          </w:p>
        </w:tc>
      </w:tr>
      <w:bookmarkEnd w:id="262"/>
    </w:tbl>
    <w:p w14:paraId="5C7A7FBF" w14:textId="77777777" w:rsidR="000A6083" w:rsidRPr="000A6083" w:rsidRDefault="000A6083" w:rsidP="000A6083">
      <w:pPr>
        <w:rPr>
          <w:lang w:val="en-GB"/>
        </w:rPr>
      </w:pPr>
    </w:p>
    <w:p w14:paraId="7E190AF1" w14:textId="77777777" w:rsidR="00943EB4" w:rsidRPr="00943EB4" w:rsidRDefault="00943EB4" w:rsidP="00943EB4">
      <w:pPr>
        <w:rPr>
          <w:lang w:val="en-GB"/>
        </w:rPr>
      </w:pPr>
    </w:p>
    <w:p w14:paraId="5BB46394" w14:textId="2D69EB15" w:rsidR="00870E73" w:rsidRPr="00DE4D13" w:rsidRDefault="00870E73">
      <w:pPr>
        <w:pStyle w:val="Heading2"/>
      </w:pPr>
      <w:bookmarkStart w:id="263" w:name="_Hlk93440802"/>
      <w:bookmarkStart w:id="264" w:name="_Toc96711239"/>
      <w:r>
        <w:t>Projets d’intérêt régional</w:t>
      </w:r>
      <w:bookmarkEnd w:id="263"/>
      <w:bookmarkEnd w:id="264"/>
    </w:p>
    <w:p w14:paraId="7356830C" w14:textId="4EA24DD8" w:rsidR="00FE698F" w:rsidRDefault="00FE698F" w:rsidP="00FE698F">
      <w:pPr>
        <w:pStyle w:val="Heading3"/>
      </w:pPr>
      <w:r>
        <w:t xml:space="preserve">Ces dernières années, la SADC a identifié un certain nombre de  projets prioritaires à mettre en </w:t>
      </w:r>
      <w:r w:rsidR="00C80D0D">
        <w:t>œuvre</w:t>
      </w:r>
      <w:r>
        <w:t xml:space="preserve"> pour améliorer l’approvisionnement en énergie dans la région. La section ci-dessous donne l’état actuel des projets de transport clé, et la figure 2 </w:t>
      </w:r>
      <w:r w:rsidR="00C80D0D">
        <w:t>montre</w:t>
      </w:r>
      <w:r>
        <w:t xml:space="preserve"> certains des projets </w:t>
      </w:r>
      <w:r w:rsidR="00C80D0D">
        <w:t>prévus</w:t>
      </w:r>
      <w:r>
        <w:t>.</w:t>
      </w:r>
    </w:p>
    <w:p w14:paraId="50BD8F5E" w14:textId="77777777" w:rsidR="00B1690E" w:rsidRPr="00B1690E" w:rsidRDefault="00B1690E" w:rsidP="00B1690E"/>
    <w:p w14:paraId="50DB2E68" w14:textId="77777777" w:rsidR="00FE698F" w:rsidRPr="00FE698F" w:rsidRDefault="00FE698F" w:rsidP="00FE698F"/>
    <w:p w14:paraId="1C82F937" w14:textId="77777777" w:rsidR="000718AD" w:rsidRDefault="00FE698F" w:rsidP="00036C94">
      <w:pPr>
        <w:keepNext/>
        <w:jc w:val="center"/>
      </w:pPr>
      <w:r>
        <w:rPr>
          <w:noProof/>
        </w:rPr>
        <w:drawing>
          <wp:inline distT="0" distB="0" distL="0" distR="0" wp14:anchorId="7831F60A" wp14:editId="533013B2">
            <wp:extent cx="5506720" cy="3451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06720" cy="3451860"/>
                    </a:xfrm>
                    <a:prstGeom prst="rect">
                      <a:avLst/>
                    </a:prstGeom>
                  </pic:spPr>
                </pic:pic>
              </a:graphicData>
            </a:graphic>
          </wp:inline>
        </w:drawing>
      </w:r>
    </w:p>
    <w:p w14:paraId="3F01593E" w14:textId="6839E7A3" w:rsidR="00FE698F" w:rsidRPr="00FE698F" w:rsidRDefault="000718AD" w:rsidP="00036C94">
      <w:pPr>
        <w:pStyle w:val="Caption"/>
        <w:jc w:val="center"/>
      </w:pPr>
      <w:bookmarkStart w:id="265" w:name="_Toc96301556"/>
      <w:r>
        <w:t xml:space="preserve">Figure </w:t>
      </w:r>
      <w:r w:rsidR="00572BAD">
        <w:fldChar w:fldCharType="begin"/>
      </w:r>
      <w:r w:rsidR="00572BAD">
        <w:instrText xml:space="preserve"> SEQ Figure \* ARABIC </w:instrText>
      </w:r>
      <w:r w:rsidR="00572BAD">
        <w:fldChar w:fldCharType="separate"/>
      </w:r>
      <w:r w:rsidR="009F1176">
        <w:rPr>
          <w:noProof/>
        </w:rPr>
        <w:t>3</w:t>
      </w:r>
      <w:r w:rsidR="00572BAD">
        <w:rPr>
          <w:noProof/>
        </w:rPr>
        <w:fldChar w:fldCharType="end"/>
      </w:r>
      <w:r>
        <w:t xml:space="preserve">. Projets de transport prévus (source: </w:t>
      </w:r>
      <w:r>
        <w:rPr>
          <w:i/>
          <w:iCs/>
        </w:rPr>
        <w:t>SAPP</w:t>
      </w:r>
      <w:r>
        <w:t>)</w:t>
      </w:r>
      <w:bookmarkEnd w:id="265"/>
    </w:p>
    <w:p w14:paraId="264AFD6F" w14:textId="77777777" w:rsidR="00A13A41" w:rsidRDefault="00A13A41" w:rsidP="00A13A41"/>
    <w:p w14:paraId="150DCBCA" w14:textId="32AADB0E" w:rsidR="00870E73" w:rsidRDefault="00870E73">
      <w:pPr>
        <w:pStyle w:val="Heading3"/>
      </w:pPr>
      <w:r>
        <w:t>Certains des projets d’intérêt régional en cours de réalisation [en 2022] sont comme suit:</w:t>
      </w:r>
    </w:p>
    <w:p w14:paraId="593D6B39" w14:textId="1331FC77" w:rsidR="00B1690E" w:rsidRPr="00036C94" w:rsidRDefault="00B1690E" w:rsidP="009E4502">
      <w:pPr>
        <w:rPr>
          <w:lang w:val="en-GB"/>
        </w:rPr>
      </w:pPr>
    </w:p>
    <w:p w14:paraId="302B292F" w14:textId="143A2CD3" w:rsidR="007C58A5" w:rsidRPr="009B5657" w:rsidRDefault="00870E73" w:rsidP="009B5657">
      <w:pPr>
        <w:pStyle w:val="ListParagraph"/>
        <w:numPr>
          <w:ilvl w:val="0"/>
          <w:numId w:val="67"/>
        </w:numPr>
        <w:spacing w:line="360" w:lineRule="auto"/>
        <w:rPr>
          <w:rFonts w:ascii="Arial" w:hAnsi="Arial" w:cs="Arial"/>
          <w:sz w:val="22"/>
          <w:szCs w:val="22"/>
        </w:rPr>
      </w:pPr>
      <w:r>
        <w:rPr>
          <w:rFonts w:ascii="Arial" w:hAnsi="Arial"/>
          <w:sz w:val="22"/>
          <w:szCs w:val="22"/>
        </w:rPr>
        <w:t xml:space="preserve">Un plan d’interconnexion Angola, Malawi et Tanzanie au réseau électrique régional pour permettre à tous les </w:t>
      </w:r>
      <w:r>
        <w:rPr>
          <w:rFonts w:ascii="Arial" w:hAnsi="Arial"/>
          <w:i/>
          <w:iCs/>
          <w:sz w:val="22"/>
          <w:szCs w:val="22"/>
        </w:rPr>
        <w:t>États membres de la SADC</w:t>
      </w:r>
      <w:r>
        <w:rPr>
          <w:rFonts w:ascii="Arial" w:hAnsi="Arial"/>
          <w:sz w:val="22"/>
          <w:szCs w:val="22"/>
        </w:rPr>
        <w:t xml:space="preserve"> non-insulaires </w:t>
      </w:r>
      <w:r w:rsidR="00C80D0D">
        <w:rPr>
          <w:rFonts w:ascii="Arial" w:hAnsi="Arial"/>
          <w:sz w:val="22"/>
          <w:szCs w:val="22"/>
        </w:rPr>
        <w:t>de</w:t>
      </w:r>
      <w:r>
        <w:rPr>
          <w:rFonts w:ascii="Arial" w:hAnsi="Arial"/>
          <w:sz w:val="22"/>
          <w:szCs w:val="22"/>
        </w:rPr>
        <w:t xml:space="preserve"> bénéficier de toute nouvelle capacité de production installée dans ces pays. Ce projet est en cours de mise en </w:t>
      </w:r>
      <w:r w:rsidR="00C80D0D">
        <w:rPr>
          <w:rFonts w:ascii="Arial" w:hAnsi="Arial"/>
          <w:sz w:val="22"/>
          <w:szCs w:val="22"/>
        </w:rPr>
        <w:t>œuvre</w:t>
      </w:r>
      <w:r>
        <w:rPr>
          <w:rFonts w:ascii="Arial" w:hAnsi="Arial"/>
          <w:sz w:val="22"/>
          <w:szCs w:val="22"/>
        </w:rPr>
        <w:t>.</w:t>
      </w:r>
    </w:p>
    <w:p w14:paraId="02D7C7E5" w14:textId="59CCD9B4" w:rsidR="007C58A5" w:rsidRPr="009B5657" w:rsidRDefault="007C58A5" w:rsidP="009B5657">
      <w:pPr>
        <w:pStyle w:val="ListParagraph"/>
        <w:numPr>
          <w:ilvl w:val="0"/>
          <w:numId w:val="67"/>
        </w:numPr>
        <w:spacing w:line="360" w:lineRule="auto"/>
        <w:rPr>
          <w:rFonts w:ascii="Arial" w:hAnsi="Arial" w:cs="Arial"/>
          <w:sz w:val="22"/>
          <w:szCs w:val="22"/>
        </w:rPr>
      </w:pPr>
      <w:r>
        <w:rPr>
          <w:rFonts w:ascii="Arial" w:hAnsi="Arial"/>
          <w:sz w:val="22"/>
          <w:szCs w:val="22"/>
        </w:rPr>
        <w:lastRenderedPageBreak/>
        <w:t xml:space="preserve">L’interconnecteur Angola-Namibie implique la construction des lignes de transport d’énergie de la proposée centrale hydroélectrique de </w:t>
      </w:r>
      <w:proofErr w:type="spellStart"/>
      <w:r>
        <w:rPr>
          <w:rFonts w:ascii="Arial" w:hAnsi="Arial"/>
          <w:sz w:val="22"/>
          <w:szCs w:val="22"/>
        </w:rPr>
        <w:t>Baynes</w:t>
      </w:r>
      <w:proofErr w:type="spellEnd"/>
      <w:r>
        <w:rPr>
          <w:rFonts w:ascii="Arial" w:hAnsi="Arial"/>
          <w:sz w:val="22"/>
          <w:szCs w:val="22"/>
        </w:rPr>
        <w:t xml:space="preserve"> dans le Kunene inférieur, en Namibie, pour se connecter au réseau électrique national de l’Angola. Ce projet est à son étape de faisabilité et il est prévu </w:t>
      </w:r>
      <w:r w:rsidR="00C80D0D">
        <w:rPr>
          <w:rFonts w:ascii="Arial" w:hAnsi="Arial"/>
          <w:sz w:val="22"/>
          <w:szCs w:val="22"/>
        </w:rPr>
        <w:t>qu’il</w:t>
      </w:r>
      <w:r>
        <w:rPr>
          <w:rFonts w:ascii="Arial" w:hAnsi="Arial"/>
          <w:sz w:val="22"/>
          <w:szCs w:val="22"/>
        </w:rPr>
        <w:t xml:space="preserve"> soit commandé avant la fin de 2022.</w:t>
      </w:r>
    </w:p>
    <w:p w14:paraId="2B1C4B2C" w14:textId="2D17483A" w:rsidR="007C58A5" w:rsidRPr="009B5657" w:rsidRDefault="007C58A5" w:rsidP="009B5657">
      <w:pPr>
        <w:pStyle w:val="ListParagraph"/>
        <w:numPr>
          <w:ilvl w:val="0"/>
          <w:numId w:val="67"/>
        </w:numPr>
        <w:spacing w:line="360" w:lineRule="auto"/>
        <w:rPr>
          <w:rFonts w:ascii="Arial" w:hAnsi="Arial" w:cs="Arial"/>
          <w:sz w:val="22"/>
          <w:szCs w:val="22"/>
        </w:rPr>
      </w:pPr>
      <w:r>
        <w:rPr>
          <w:rFonts w:ascii="Arial" w:hAnsi="Arial"/>
          <w:sz w:val="22"/>
          <w:szCs w:val="22"/>
        </w:rPr>
        <w:t>L’interconnecteur Angola-RDC fait partie de l’interconnecteur Inga-Cabinda-</w:t>
      </w:r>
      <w:r w:rsidR="00C80D0D">
        <w:rPr>
          <w:rFonts w:ascii="Arial" w:hAnsi="Arial"/>
          <w:sz w:val="22"/>
          <w:szCs w:val="22"/>
        </w:rPr>
        <w:t>Pointe</w:t>
      </w:r>
      <w:r>
        <w:rPr>
          <w:rFonts w:ascii="Arial" w:hAnsi="Arial"/>
          <w:sz w:val="22"/>
          <w:szCs w:val="22"/>
        </w:rPr>
        <w:t xml:space="preserve"> Noire, reliant le système électrique de la RDC à l’Angola. Le projet implique la construction d’une section en Angola à partir de la frontière congolaise à Cabinda. Ce projet est à son étape de faisabilité.</w:t>
      </w:r>
    </w:p>
    <w:p w14:paraId="37790E12" w14:textId="38C5C608" w:rsidR="007C58A5" w:rsidRPr="009B5657" w:rsidRDefault="007C58A5" w:rsidP="009B5657">
      <w:pPr>
        <w:pStyle w:val="ListParagraph"/>
        <w:numPr>
          <w:ilvl w:val="0"/>
          <w:numId w:val="67"/>
        </w:numPr>
        <w:spacing w:line="360" w:lineRule="auto"/>
        <w:rPr>
          <w:rFonts w:ascii="Arial" w:hAnsi="Arial" w:cs="Arial"/>
          <w:sz w:val="22"/>
          <w:szCs w:val="22"/>
        </w:rPr>
      </w:pPr>
      <w:r>
        <w:rPr>
          <w:rFonts w:ascii="Arial" w:hAnsi="Arial"/>
          <w:sz w:val="22"/>
          <w:szCs w:val="22"/>
        </w:rPr>
        <w:t xml:space="preserve">L’interconnecteur Mozambique-Malawi va impliquer la construction d’une ligne électrique allant de la sous-station de </w:t>
      </w:r>
      <w:proofErr w:type="spellStart"/>
      <w:r>
        <w:rPr>
          <w:rFonts w:ascii="Arial" w:hAnsi="Arial"/>
          <w:sz w:val="22"/>
          <w:szCs w:val="22"/>
        </w:rPr>
        <w:t>Matambo</w:t>
      </w:r>
      <w:proofErr w:type="spellEnd"/>
      <w:r>
        <w:rPr>
          <w:rFonts w:ascii="Arial" w:hAnsi="Arial"/>
          <w:sz w:val="22"/>
          <w:szCs w:val="22"/>
        </w:rPr>
        <w:t xml:space="preserve"> au Mozambique à </w:t>
      </w:r>
      <w:proofErr w:type="spellStart"/>
      <w:r>
        <w:rPr>
          <w:rFonts w:ascii="Arial" w:hAnsi="Arial"/>
          <w:sz w:val="22"/>
          <w:szCs w:val="22"/>
        </w:rPr>
        <w:t>Pombeya</w:t>
      </w:r>
      <w:proofErr w:type="spellEnd"/>
      <w:r>
        <w:rPr>
          <w:rFonts w:ascii="Arial" w:hAnsi="Arial"/>
          <w:sz w:val="22"/>
          <w:szCs w:val="22"/>
        </w:rPr>
        <w:t>, au nord de la capitale commerciale du Malawi, Blantyre. Ce projet a atteint le bouclage financier et est à l’étape de construction, et on s’attend à qu’elle soit commandée en 2022.</w:t>
      </w:r>
    </w:p>
    <w:p w14:paraId="109FC3DB" w14:textId="48C958D6" w:rsidR="004F5DC1" w:rsidRPr="009B5657" w:rsidRDefault="007C58A5" w:rsidP="009B5657">
      <w:pPr>
        <w:pStyle w:val="ListParagraph"/>
        <w:numPr>
          <w:ilvl w:val="0"/>
          <w:numId w:val="67"/>
        </w:numPr>
        <w:spacing w:line="360" w:lineRule="auto"/>
        <w:rPr>
          <w:rFonts w:ascii="Arial" w:hAnsi="Arial" w:cs="Arial"/>
          <w:sz w:val="22"/>
          <w:szCs w:val="22"/>
        </w:rPr>
      </w:pPr>
      <w:r>
        <w:rPr>
          <w:rFonts w:ascii="Arial" w:hAnsi="Arial"/>
          <w:sz w:val="22"/>
          <w:szCs w:val="22"/>
        </w:rPr>
        <w:t>La Zambie, le Kenya et la Tanzanie ont signé un accord en décembre 2014 dans les termes duquel ils se sont engagés à amorcer le projet d’interconnecteur en décembre 2015. Ce projet suit encore son cours.</w:t>
      </w:r>
    </w:p>
    <w:p w14:paraId="7AD4CC1B" w14:textId="63F5D1EA" w:rsidR="004B091D" w:rsidRPr="009B5657" w:rsidRDefault="00870E73" w:rsidP="009B5657">
      <w:pPr>
        <w:pStyle w:val="ListParagraph"/>
        <w:numPr>
          <w:ilvl w:val="0"/>
          <w:numId w:val="67"/>
        </w:numPr>
        <w:spacing w:line="360" w:lineRule="auto"/>
        <w:rPr>
          <w:rFonts w:ascii="Arial" w:hAnsi="Arial" w:cs="Arial"/>
          <w:sz w:val="22"/>
          <w:szCs w:val="22"/>
        </w:rPr>
      </w:pPr>
      <w:r>
        <w:t xml:space="preserve">L’interconnecteur Zambie-Tanzanie a plusieurs composantes et il est à la phase des travaux de construction à partir du côté de la Zambie et du côté de la Tanzanie, où les deux lignes de transport sont conçues converger près de la frontière de </w:t>
      </w:r>
      <w:proofErr w:type="spellStart"/>
      <w:r>
        <w:t>Nakonde</w:t>
      </w:r>
      <w:proofErr w:type="spellEnd"/>
      <w:r>
        <w:t xml:space="preserve"> en 2022</w:t>
      </w:r>
    </w:p>
    <w:p w14:paraId="4A12EF36" w14:textId="708A9A18" w:rsidR="00860BE9" w:rsidRPr="00EF0F3B" w:rsidRDefault="00870E73" w:rsidP="00BC37DC">
      <w:pPr>
        <w:pStyle w:val="ListParagraph"/>
        <w:numPr>
          <w:ilvl w:val="0"/>
          <w:numId w:val="67"/>
        </w:numPr>
        <w:spacing w:line="360" w:lineRule="auto"/>
        <w:rPr>
          <w:rFonts w:cs="Arial"/>
          <w:szCs w:val="22"/>
        </w:rPr>
      </w:pPr>
      <w:r>
        <w:rPr>
          <w:rFonts w:ascii="Arial" w:hAnsi="Arial"/>
          <w:sz w:val="22"/>
          <w:szCs w:val="22"/>
        </w:rPr>
        <w:t>Le projet Mozambique-Zimbabwe-Afrique du Sud (</w:t>
      </w:r>
      <w:proofErr w:type="spellStart"/>
      <w:r>
        <w:rPr>
          <w:rFonts w:ascii="Arial" w:hAnsi="Arial"/>
          <w:sz w:val="22"/>
          <w:szCs w:val="22"/>
        </w:rPr>
        <w:t>MoZiSa</w:t>
      </w:r>
      <w:proofErr w:type="spellEnd"/>
      <w:r>
        <w:rPr>
          <w:rFonts w:ascii="Arial" w:hAnsi="Arial"/>
          <w:sz w:val="22"/>
          <w:szCs w:val="22"/>
        </w:rPr>
        <w:t xml:space="preserve">) est destiné à complémenter d’autres lignes de transport régionales et faciliter les transferts d’énergie électrique au sein du </w:t>
      </w:r>
      <w:r>
        <w:rPr>
          <w:rFonts w:ascii="Arial" w:hAnsi="Arial"/>
          <w:i/>
          <w:iCs/>
          <w:sz w:val="22"/>
          <w:szCs w:val="22"/>
        </w:rPr>
        <w:t>système de transport interconnecté du SAPP</w:t>
      </w:r>
      <w:r>
        <w:rPr>
          <w:rFonts w:ascii="Arial" w:hAnsi="Arial"/>
          <w:sz w:val="22"/>
          <w:szCs w:val="22"/>
        </w:rPr>
        <w:t xml:space="preserve">. </w:t>
      </w:r>
      <w:r>
        <w:rPr>
          <w:szCs w:val="22"/>
        </w:rPr>
        <w:t xml:space="preserve">Il va accroître la stabilité dans le pool électrique à travers plus d’interconnexion entre le réseau fort </w:t>
      </w:r>
      <w:r w:rsidR="00C80D0D">
        <w:rPr>
          <w:szCs w:val="22"/>
        </w:rPr>
        <w:t>dans</w:t>
      </w:r>
      <w:r>
        <w:rPr>
          <w:szCs w:val="22"/>
        </w:rPr>
        <w:t xml:space="preserve"> le sud et le réseau faible dans le nord de la région, qui tend à être une source d’instabilité de réseau dans le </w:t>
      </w:r>
      <w:r>
        <w:rPr>
          <w:i/>
          <w:iCs/>
          <w:szCs w:val="22"/>
        </w:rPr>
        <w:t>SAPP</w:t>
      </w:r>
      <w:r>
        <w:rPr>
          <w:szCs w:val="22"/>
        </w:rPr>
        <w:t>.</w:t>
      </w:r>
      <w:r>
        <w:rPr>
          <w:rFonts w:ascii="Arial" w:hAnsi="Arial"/>
          <w:sz w:val="22"/>
          <w:szCs w:val="22"/>
        </w:rPr>
        <w:t xml:space="preserve"> Les études de viabilité se sont achevé</w:t>
      </w:r>
      <w:r w:rsidR="00C80D0D">
        <w:rPr>
          <w:rFonts w:ascii="Arial" w:hAnsi="Arial"/>
          <w:sz w:val="22"/>
          <w:szCs w:val="22"/>
        </w:rPr>
        <w:t>es</w:t>
      </w:r>
      <w:r>
        <w:rPr>
          <w:rFonts w:ascii="Arial" w:hAnsi="Arial"/>
          <w:sz w:val="22"/>
          <w:szCs w:val="22"/>
        </w:rPr>
        <w:t xml:space="preserve">, mas il y a des retards sur la mise en </w:t>
      </w:r>
      <w:r w:rsidR="00C80D0D">
        <w:rPr>
          <w:rFonts w:ascii="Arial" w:hAnsi="Arial"/>
          <w:sz w:val="22"/>
          <w:szCs w:val="22"/>
        </w:rPr>
        <w:t>œuvre</w:t>
      </w:r>
      <w:r>
        <w:rPr>
          <w:rFonts w:ascii="Arial" w:hAnsi="Arial"/>
          <w:sz w:val="22"/>
          <w:szCs w:val="22"/>
        </w:rPr>
        <w:t xml:space="preserve"> du projet.</w:t>
      </w:r>
      <w:r>
        <w:rPr>
          <w:rFonts w:ascii="Arial" w:hAnsi="Arial"/>
          <w:sz w:val="22"/>
          <w:szCs w:val="22"/>
        </w:rPr>
        <w:cr/>
        <w:t>Le projet de transport par l’interconnecteur Zimbabwe-Zambie-Namibie (</w:t>
      </w:r>
      <w:proofErr w:type="spellStart"/>
      <w:r>
        <w:rPr>
          <w:rFonts w:ascii="Arial" w:hAnsi="Arial"/>
          <w:sz w:val="22"/>
          <w:szCs w:val="22"/>
        </w:rPr>
        <w:t>ZiZaBoNa</w:t>
      </w:r>
      <w:proofErr w:type="spellEnd"/>
      <w:r>
        <w:rPr>
          <w:rFonts w:ascii="Arial" w:hAnsi="Arial"/>
          <w:sz w:val="22"/>
          <w:szCs w:val="22"/>
        </w:rPr>
        <w:t>) a la capacité d’accroître les transactions électriques parmi les entreprises de services publics, ainsi que fournir une route alternative et aider à décongestionner le corridor de transport central existant qui passe par le Zimbabwe. Un consultant a été embauché pour se concentrer sur la mise au point d’une analyse de rentabilité et finaliser les préparatifs liées aux spécifications et des documents d'appel d’offres pour l’ingénierie, l’approvisionnement et la construction (IAC).</w:t>
      </w:r>
    </w:p>
    <w:p w14:paraId="056E7CAB" w14:textId="35BFD632" w:rsidR="004B091D" w:rsidRPr="009B5657" w:rsidRDefault="004B091D" w:rsidP="009B5657">
      <w:pPr>
        <w:pStyle w:val="ListParagraph"/>
        <w:numPr>
          <w:ilvl w:val="0"/>
          <w:numId w:val="67"/>
        </w:numPr>
        <w:spacing w:line="360" w:lineRule="auto"/>
        <w:rPr>
          <w:rFonts w:ascii="Arial" w:hAnsi="Arial" w:cs="Arial"/>
          <w:sz w:val="22"/>
          <w:szCs w:val="22"/>
        </w:rPr>
      </w:pPr>
      <w:r>
        <w:rPr>
          <w:rFonts w:ascii="Arial" w:hAnsi="Arial"/>
          <w:sz w:val="22"/>
          <w:szCs w:val="22"/>
        </w:rPr>
        <w:lastRenderedPageBreak/>
        <w:t xml:space="preserve">Le secrétariat de la SADC plaide en faveur de la mise au point d’un corridor de transport à l’ouest, allant de la RDC, passant par l’Angola et la Namibie, jusqu'au Botswana, et un corridor central allant de l’Afrique du Sud, passant par le Botswana, le Zimbabwe et jusqu’en Zambie et en Tanzanie, et des corridors de l'est allant de l’Afrique du Sud, passant par le Mozambique, jusqu’au Malawi et la Tanzanie, du </w:t>
      </w:r>
      <w:r>
        <w:rPr>
          <w:rFonts w:ascii="Arial" w:hAnsi="Arial"/>
          <w:i/>
          <w:iCs/>
          <w:sz w:val="22"/>
          <w:szCs w:val="22"/>
        </w:rPr>
        <w:t>réseau de transport interconnecté du SAPP</w:t>
      </w:r>
      <w:r>
        <w:rPr>
          <w:rFonts w:ascii="Arial" w:hAnsi="Arial"/>
          <w:sz w:val="22"/>
          <w:szCs w:val="22"/>
        </w:rPr>
        <w:t>, pour soulager la congestion actuelle sur le corridor central.</w:t>
      </w:r>
    </w:p>
    <w:sectPr w:rsidR="004B091D" w:rsidRPr="009B5657" w:rsidSect="002E3E2C">
      <w:footerReference w:type="even" r:id="rId18"/>
      <w:footerReference w:type="default" r:id="rId19"/>
      <w:pgSz w:w="11909" w:h="16834" w:code="9"/>
      <w:pgMar w:top="1440" w:right="1440"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1CC8E" w14:textId="77777777" w:rsidR="00572BAD" w:rsidRDefault="00572BAD">
      <w:r>
        <w:separator/>
      </w:r>
    </w:p>
  </w:endnote>
  <w:endnote w:type="continuationSeparator" w:id="0">
    <w:p w14:paraId="6FA4C873" w14:textId="77777777" w:rsidR="00572BAD" w:rsidRDefault="00572BAD">
      <w:r>
        <w:continuationSeparator/>
      </w:r>
    </w:p>
  </w:endnote>
  <w:endnote w:type="continuationNotice" w:id="1">
    <w:p w14:paraId="7A6900F5" w14:textId="77777777" w:rsidR="00572BAD" w:rsidRDefault="00572BA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5A31" w14:textId="71CE2A98" w:rsidR="00BC37DC" w:rsidRDefault="00BC37DC">
    <w:pPr>
      <w:pStyle w:val="Footer"/>
      <w:framePr w:wrap="around" w:vAnchor="text" w:hAnchor="margin" w:xAlign="right" w:y="1"/>
    </w:pPr>
    <w:r>
      <w:fldChar w:fldCharType="begin"/>
    </w:r>
    <w:r>
      <w:instrText xml:space="preserve">PAGE  </w:instrText>
    </w:r>
    <w:r>
      <w:fldChar w:fldCharType="separate"/>
    </w:r>
    <w:r w:rsidR="009F1176">
      <w:rPr>
        <w:noProof/>
      </w:rPr>
      <w:t>3</w:t>
    </w:r>
    <w:r>
      <w:fldChar w:fldCharType="end"/>
    </w:r>
  </w:p>
  <w:p w14:paraId="6D07085A" w14:textId="77777777" w:rsidR="00BC37DC" w:rsidRDefault="00BC37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0B11" w14:textId="35CD7C1A" w:rsidR="00BC37DC" w:rsidRPr="00987602" w:rsidRDefault="00BC37DC" w:rsidP="00E0501A">
    <w:pPr>
      <w:pStyle w:val="Footer"/>
      <w:pBdr>
        <w:top w:val="single" w:sz="4" w:space="6" w:color="auto"/>
      </w:pBdr>
      <w:rPr>
        <w:rFonts w:ascii="Arial" w:hAnsi="Arial"/>
        <w:iCs/>
      </w:rPr>
    </w:pPr>
    <w:r>
      <w:t>Code d</w:t>
    </w:r>
    <w:r w:rsidR="00AD6F2E">
      <w:t>u</w:t>
    </w:r>
    <w:r>
      <w:t xml:space="preserve"> réseau régional de la SADC – Préambule (version 0.9) (ébauche) Page </w:t>
    </w:r>
    <w:r w:rsidRPr="00987602">
      <w:rPr>
        <w:rFonts w:ascii="Arial" w:hAnsi="Arial"/>
        <w:iCs/>
      </w:rPr>
      <w:fldChar w:fldCharType="begin"/>
    </w:r>
    <w:r w:rsidRPr="00987602">
      <w:rPr>
        <w:rFonts w:ascii="Arial" w:hAnsi="Arial"/>
        <w:iCs/>
      </w:rPr>
      <w:instrText xml:space="preserve"> PAGE </w:instrText>
    </w:r>
    <w:r w:rsidRPr="00987602">
      <w:rPr>
        <w:rFonts w:ascii="Arial" w:hAnsi="Arial"/>
        <w:iCs/>
      </w:rPr>
      <w:fldChar w:fldCharType="separate"/>
    </w:r>
    <w:r w:rsidR="00F36A9A">
      <w:rPr>
        <w:rFonts w:ascii="Arial" w:hAnsi="Arial"/>
        <w:iCs/>
      </w:rPr>
      <w:t>2</w:t>
    </w:r>
    <w:r w:rsidRPr="00987602">
      <w:rPr>
        <w:rFonts w:ascii="Arial" w:hAnsi="Arial"/>
        <w:iCs/>
      </w:rPr>
      <w:fldChar w:fldCharType="end"/>
    </w:r>
    <w:r>
      <w:t xml:space="preserve"> de </w:t>
    </w:r>
    <w:r w:rsidRPr="00987602">
      <w:rPr>
        <w:rFonts w:ascii="Arial" w:hAnsi="Arial"/>
        <w:iCs/>
      </w:rPr>
      <w:fldChar w:fldCharType="begin"/>
    </w:r>
    <w:r w:rsidRPr="00987602">
      <w:rPr>
        <w:rFonts w:ascii="Arial" w:hAnsi="Arial"/>
        <w:iCs/>
      </w:rPr>
      <w:instrText xml:space="preserve"> NUMPAGES </w:instrText>
    </w:r>
    <w:r w:rsidRPr="00987602">
      <w:rPr>
        <w:rFonts w:ascii="Arial" w:hAnsi="Arial"/>
        <w:iCs/>
      </w:rPr>
      <w:fldChar w:fldCharType="separate"/>
    </w:r>
    <w:r w:rsidR="00F36A9A">
      <w:rPr>
        <w:rFonts w:ascii="Arial" w:hAnsi="Arial"/>
        <w:iCs/>
      </w:rPr>
      <w:t>14</w:t>
    </w:r>
    <w:r w:rsidRPr="00987602">
      <w:rPr>
        <w:rFonts w:ascii="Arial" w:hAnsi="Arial"/>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7DCE6" w14:textId="77777777" w:rsidR="00572BAD" w:rsidRDefault="00572BAD">
      <w:r>
        <w:separator/>
      </w:r>
    </w:p>
  </w:footnote>
  <w:footnote w:type="continuationSeparator" w:id="0">
    <w:p w14:paraId="06675E9B" w14:textId="77777777" w:rsidR="00572BAD" w:rsidRDefault="00572BAD">
      <w:r>
        <w:continuationSeparator/>
      </w:r>
    </w:p>
  </w:footnote>
  <w:footnote w:type="continuationNotice" w:id="1">
    <w:p w14:paraId="43A1D276" w14:textId="77777777" w:rsidR="00572BAD" w:rsidRDefault="00572BAD">
      <w:pPr>
        <w:spacing w:before="0"/>
      </w:pPr>
    </w:p>
  </w:footnote>
  <w:footnote w:id="2">
    <w:p w14:paraId="6466AD62" w14:textId="0D45083A" w:rsidR="00BC37DC" w:rsidRPr="00036C94" w:rsidRDefault="00BC37DC">
      <w:pPr>
        <w:pStyle w:val="FootnoteText"/>
      </w:pPr>
      <w:r>
        <w:rPr>
          <w:rStyle w:val="FootnoteReference"/>
        </w:rPr>
        <w:footnoteRef/>
      </w:r>
      <w:r>
        <w:t xml:space="preserve"> </w:t>
      </w:r>
      <w:hyperlink r:id="rId1" w:history="1">
        <w:r>
          <w:rPr>
            <w:rStyle w:val="Hyperlink"/>
          </w:rPr>
          <w:t>https://www.sapp.co.zw/sites/default/files/Sapp%20Annual%20Report%202020.pdf</w:t>
        </w:r>
      </w:hyperlink>
      <w:r>
        <w:t xml:space="preserve"> </w:t>
      </w:r>
    </w:p>
  </w:footnote>
  <w:footnote w:id="3">
    <w:p w14:paraId="4384D687" w14:textId="2D8CB8DF" w:rsidR="00BC37DC" w:rsidRPr="00A561B7" w:rsidRDefault="00BC37DC">
      <w:pPr>
        <w:pStyle w:val="FootnoteText"/>
      </w:pPr>
      <w:r>
        <w:rPr>
          <w:rStyle w:val="FootnoteReference"/>
        </w:rPr>
        <w:footnoteRef/>
      </w:r>
      <w:r>
        <w:t xml:space="preserve"> Source : Développement d'un cadre et d'une feuille de route pour la création d'une autorité régionale de régulation de l'énergie pour la </w:t>
      </w:r>
      <w:r>
        <w:rPr>
          <w:i/>
          <w:iCs/>
        </w:rPr>
        <w:t>SADC</w:t>
      </w:r>
      <w:r>
        <w:t>, rapport final de novembre 2019 par Economic Consulting Associates.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12F"/>
    <w:multiLevelType w:val="hybridMultilevel"/>
    <w:tmpl w:val="01BE18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25CF7"/>
    <w:multiLevelType w:val="multilevel"/>
    <w:tmpl w:val="7BE47C14"/>
    <w:lvl w:ilvl="0">
      <w:start w:val="1"/>
      <w:numFmt w:val="decimal"/>
      <w:lvlText w:val="P%1."/>
      <w:lvlJc w:val="left"/>
      <w:pPr>
        <w:ind w:left="360" w:hanging="360"/>
      </w:pPr>
      <w:rPr>
        <w:rFonts w:hint="default"/>
      </w:rPr>
    </w:lvl>
    <w:lvl w:ilvl="1">
      <w:start w:val="1"/>
      <w:numFmt w:val="decimal"/>
      <w:lvlText w:val="P%1.%2"/>
      <w:lvlJc w:val="left"/>
      <w:pPr>
        <w:ind w:left="576" w:hanging="576"/>
      </w:pPr>
      <w:rPr>
        <w:rFonts w:hint="default"/>
      </w:rPr>
    </w:lvl>
    <w:lvl w:ilvl="2">
      <w:start w:val="1"/>
      <w:numFmt w:val="lowerLetter"/>
      <w:lvlText w:val="%3)"/>
      <w:lvlJc w:val="left"/>
      <w:pPr>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P%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BA9129F"/>
    <w:multiLevelType w:val="hybridMultilevel"/>
    <w:tmpl w:val="01BE18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CD4C1E"/>
    <w:multiLevelType w:val="hybridMultilevel"/>
    <w:tmpl w:val="BC38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C5CAF"/>
    <w:multiLevelType w:val="multilevel"/>
    <w:tmpl w:val="04D84708"/>
    <w:styleLink w:val="Bullet2"/>
    <w:lvl w:ilvl="0">
      <w:start w:val="1"/>
      <w:numFmt w:val="bullet"/>
      <w:lvlText w:val=""/>
      <w:lvlJc w:val="left"/>
      <w:pPr>
        <w:tabs>
          <w:tab w:val="num" w:pos="1571"/>
        </w:tabs>
        <w:ind w:left="1571" w:hanging="360"/>
      </w:pPr>
      <w:rPr>
        <w:rFonts w:ascii="Symbol" w:hAnsi="Symbol" w:hint="default"/>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Symbol" w:hAnsi="Symbol"/>
        <w:sz w:val="24"/>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15336A8A"/>
    <w:multiLevelType w:val="multilevel"/>
    <w:tmpl w:val="E05E0EA4"/>
    <w:styleLink w:val="Bullet1"/>
    <w:lvl w:ilvl="0">
      <w:start w:val="1"/>
      <w:numFmt w:val="bullet"/>
      <w:lvlText w:val=""/>
      <w:lvlJc w:val="left"/>
      <w:pPr>
        <w:tabs>
          <w:tab w:val="num" w:pos="567"/>
        </w:tabs>
        <w:ind w:left="567" w:hanging="425"/>
      </w:pPr>
      <w:rPr>
        <w:rFonts w:ascii="Symbol" w:hAnsi="Symbol" w:hint="default"/>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Symbol" w:hAnsi="Symbol" w:hint="default"/>
        <w:sz w:val="24"/>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19E36273"/>
    <w:multiLevelType w:val="hybridMultilevel"/>
    <w:tmpl w:val="5FD251AC"/>
    <w:lvl w:ilvl="0" w:tplc="058ADC80">
      <w:start w:val="1"/>
      <w:numFmt w:val="decimal"/>
      <w:lvlText w:val="(%1)"/>
      <w:lvlJc w:val="left"/>
      <w:pPr>
        <w:tabs>
          <w:tab w:val="num" w:pos="425"/>
        </w:tabs>
        <w:ind w:left="425" w:hanging="425"/>
      </w:pPr>
      <w:rPr>
        <w:rFonts w:ascii="Arial" w:hAnsi="Arial" w:hint="default"/>
        <w:b w:val="0"/>
        <w:i w:val="0"/>
        <w:sz w:val="22"/>
        <w:szCs w:val="22"/>
      </w:r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AA1DD3"/>
    <w:multiLevelType w:val="multilevel"/>
    <w:tmpl w:val="A154B056"/>
    <w:lvl w:ilvl="0">
      <w:start w:val="1"/>
      <w:numFmt w:val="decimal"/>
      <w:pStyle w:val="Heading1"/>
      <w:lvlText w:val="P%1."/>
      <w:lvlJc w:val="left"/>
      <w:pPr>
        <w:ind w:left="360" w:hanging="360"/>
      </w:pPr>
      <w:rPr>
        <w:rFonts w:hint="default"/>
      </w:rPr>
    </w:lvl>
    <w:lvl w:ilvl="1">
      <w:start w:val="1"/>
      <w:numFmt w:val="decimal"/>
      <w:pStyle w:val="Heading2"/>
      <w:lvlText w:val="P%1.%2"/>
      <w:lvlJc w:val="left"/>
      <w:pPr>
        <w:ind w:left="576" w:hanging="576"/>
      </w:pPr>
      <w:rPr>
        <w:rFonts w:hint="default"/>
      </w:rPr>
    </w:lvl>
    <w:lvl w:ilvl="2">
      <w:start w:val="1"/>
      <w:numFmt w:val="decimal"/>
      <w:pStyle w:val="Heading3"/>
      <w:lvlText w:val="P%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P%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4DE23CB"/>
    <w:multiLevelType w:val="hybridMultilevel"/>
    <w:tmpl w:val="01BE18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6F438C"/>
    <w:multiLevelType w:val="hybridMultilevel"/>
    <w:tmpl w:val="3542A0CE"/>
    <w:lvl w:ilvl="0" w:tplc="70A27A90">
      <w:start w:val="1"/>
      <w:numFmt w:val="lowerLetter"/>
      <w:pStyle w:val="Normalnuma"/>
      <w:lvlText w:val="(%1)"/>
      <w:lvlJc w:val="left"/>
      <w:pPr>
        <w:tabs>
          <w:tab w:val="num" w:pos="720"/>
        </w:tabs>
        <w:ind w:left="1146" w:hanging="426"/>
      </w:pPr>
      <w:rPr>
        <w:rFonts w:ascii="Arial" w:hAnsi="Arial" w:hint="default"/>
        <w:b w:val="0"/>
        <w:i w:val="0"/>
        <w:sz w:val="22"/>
        <w:szCs w:val="22"/>
      </w:rPr>
    </w:lvl>
    <w:lvl w:ilvl="1" w:tplc="04090003" w:tentative="1">
      <w:start w:val="1"/>
      <w:numFmt w:val="bullet"/>
      <w:lvlText w:val="o"/>
      <w:lvlJc w:val="left"/>
      <w:pPr>
        <w:ind w:left="1735" w:hanging="360"/>
      </w:pPr>
      <w:rPr>
        <w:rFonts w:ascii="Courier New" w:hAnsi="Courier New" w:hint="default"/>
      </w:rPr>
    </w:lvl>
    <w:lvl w:ilvl="2" w:tplc="04090005" w:tentative="1">
      <w:start w:val="1"/>
      <w:numFmt w:val="bullet"/>
      <w:lvlText w:val=""/>
      <w:lvlJc w:val="left"/>
      <w:pPr>
        <w:ind w:left="2455" w:hanging="360"/>
      </w:pPr>
      <w:rPr>
        <w:rFonts w:ascii="Wingdings" w:hAnsi="Wingdings" w:hint="default"/>
      </w:rPr>
    </w:lvl>
    <w:lvl w:ilvl="3" w:tplc="04090001" w:tentative="1">
      <w:start w:val="1"/>
      <w:numFmt w:val="bullet"/>
      <w:lvlText w:val=""/>
      <w:lvlJc w:val="left"/>
      <w:pPr>
        <w:ind w:left="3175" w:hanging="360"/>
      </w:pPr>
      <w:rPr>
        <w:rFonts w:ascii="Symbol" w:hAnsi="Symbol" w:hint="default"/>
      </w:rPr>
    </w:lvl>
    <w:lvl w:ilvl="4" w:tplc="04090003" w:tentative="1">
      <w:start w:val="1"/>
      <w:numFmt w:val="bullet"/>
      <w:lvlText w:val="o"/>
      <w:lvlJc w:val="left"/>
      <w:pPr>
        <w:ind w:left="3895" w:hanging="360"/>
      </w:pPr>
      <w:rPr>
        <w:rFonts w:ascii="Courier New" w:hAnsi="Courier New" w:hint="default"/>
      </w:rPr>
    </w:lvl>
    <w:lvl w:ilvl="5" w:tplc="04090005" w:tentative="1">
      <w:start w:val="1"/>
      <w:numFmt w:val="bullet"/>
      <w:lvlText w:val=""/>
      <w:lvlJc w:val="left"/>
      <w:pPr>
        <w:ind w:left="4615" w:hanging="360"/>
      </w:pPr>
      <w:rPr>
        <w:rFonts w:ascii="Wingdings" w:hAnsi="Wingdings" w:hint="default"/>
      </w:rPr>
    </w:lvl>
    <w:lvl w:ilvl="6" w:tplc="04090001" w:tentative="1">
      <w:start w:val="1"/>
      <w:numFmt w:val="bullet"/>
      <w:lvlText w:val=""/>
      <w:lvlJc w:val="left"/>
      <w:pPr>
        <w:ind w:left="5335" w:hanging="360"/>
      </w:pPr>
      <w:rPr>
        <w:rFonts w:ascii="Symbol" w:hAnsi="Symbol" w:hint="default"/>
      </w:rPr>
    </w:lvl>
    <w:lvl w:ilvl="7" w:tplc="04090003" w:tentative="1">
      <w:start w:val="1"/>
      <w:numFmt w:val="bullet"/>
      <w:lvlText w:val="o"/>
      <w:lvlJc w:val="left"/>
      <w:pPr>
        <w:ind w:left="6055" w:hanging="360"/>
      </w:pPr>
      <w:rPr>
        <w:rFonts w:ascii="Courier New" w:hAnsi="Courier New" w:hint="default"/>
      </w:rPr>
    </w:lvl>
    <w:lvl w:ilvl="8" w:tplc="04090005" w:tentative="1">
      <w:start w:val="1"/>
      <w:numFmt w:val="bullet"/>
      <w:lvlText w:val=""/>
      <w:lvlJc w:val="left"/>
      <w:pPr>
        <w:ind w:left="6775" w:hanging="360"/>
      </w:pPr>
      <w:rPr>
        <w:rFonts w:ascii="Wingdings" w:hAnsi="Wingdings" w:hint="default"/>
      </w:rPr>
    </w:lvl>
  </w:abstractNum>
  <w:abstractNum w:abstractNumId="10" w15:restartNumberingAfterBreak="0">
    <w:nsid w:val="28033511"/>
    <w:multiLevelType w:val="multilevel"/>
    <w:tmpl w:val="2B48C4D2"/>
    <w:lvl w:ilvl="0">
      <w:start w:val="1"/>
      <w:numFmt w:val="decimal"/>
      <w:lvlText w:val="P%1."/>
      <w:lvlJc w:val="left"/>
      <w:pPr>
        <w:ind w:left="360" w:hanging="360"/>
      </w:pPr>
      <w:rPr>
        <w:rFonts w:hint="default"/>
      </w:rPr>
    </w:lvl>
    <w:lvl w:ilvl="1">
      <w:start w:val="1"/>
      <w:numFmt w:val="decimal"/>
      <w:lvlText w:val="P%1.%2"/>
      <w:lvlJc w:val="left"/>
      <w:pPr>
        <w:ind w:left="576" w:hanging="576"/>
      </w:pPr>
      <w:rPr>
        <w:rFonts w:hint="default"/>
      </w:rPr>
    </w:lvl>
    <w:lvl w:ilvl="2">
      <w:start w:val="1"/>
      <w:numFmt w:val="lowerLetter"/>
      <w:lvlText w:val="%3)"/>
      <w:lvlJc w:val="left"/>
      <w:pPr>
        <w:ind w:left="720" w:hanging="720"/>
      </w:pPr>
      <w:rPr>
        <w:rFonts w:hint="default"/>
        <w:strike w:val="0"/>
      </w:rPr>
    </w:lvl>
    <w:lvl w:ilvl="3">
      <w:start w:val="1"/>
      <w:numFmt w:val="decimal"/>
      <w:lvlText w:val="P%1.%2.%3.%4"/>
      <w:lvlJc w:val="left"/>
      <w:pPr>
        <w:ind w:left="864" w:hanging="864"/>
      </w:pPr>
      <w:rPr>
        <w:rFonts w:hint="default"/>
        <w:b w:val="0"/>
        <w:bCs/>
        <w:i w:val="0"/>
        <w:iCs/>
        <w:strike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80F751E"/>
    <w:multiLevelType w:val="hybridMultilevel"/>
    <w:tmpl w:val="8F1462E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8C001AF"/>
    <w:multiLevelType w:val="hybridMultilevel"/>
    <w:tmpl w:val="01BE18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5A0B0A"/>
    <w:multiLevelType w:val="hybridMultilevel"/>
    <w:tmpl w:val="3EDCD246"/>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15:restartNumberingAfterBreak="0">
    <w:nsid w:val="2A6B1228"/>
    <w:multiLevelType w:val="hybridMultilevel"/>
    <w:tmpl w:val="01BE18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E84A01"/>
    <w:multiLevelType w:val="hybridMultilevel"/>
    <w:tmpl w:val="9B580D2A"/>
    <w:lvl w:ilvl="0" w:tplc="058ADC80">
      <w:start w:val="1"/>
      <w:numFmt w:val="decimal"/>
      <w:lvlText w:val="(%1)"/>
      <w:lvlJc w:val="left"/>
      <w:pPr>
        <w:tabs>
          <w:tab w:val="num" w:pos="425"/>
        </w:tabs>
        <w:ind w:left="425" w:hanging="425"/>
      </w:pPr>
      <w:rPr>
        <w:rFonts w:ascii="Arial" w:hAnsi="Arial" w:hint="default"/>
        <w:b w:val="0"/>
        <w:i w:val="0"/>
        <w:sz w:val="22"/>
        <w:szCs w:val="22"/>
      </w:r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7E720A"/>
    <w:multiLevelType w:val="hybridMultilevel"/>
    <w:tmpl w:val="4E9415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6A2856"/>
    <w:multiLevelType w:val="hybridMultilevel"/>
    <w:tmpl w:val="01BE18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23E0E"/>
    <w:multiLevelType w:val="hybridMultilevel"/>
    <w:tmpl w:val="D0A845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B31150"/>
    <w:multiLevelType w:val="hybridMultilevel"/>
    <w:tmpl w:val="01BE18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D35257"/>
    <w:multiLevelType w:val="hybridMultilevel"/>
    <w:tmpl w:val="01BE18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B00112"/>
    <w:multiLevelType w:val="hybridMultilevel"/>
    <w:tmpl w:val="5A2A7B22"/>
    <w:lvl w:ilvl="0" w:tplc="679C2894">
      <w:start w:val="1"/>
      <w:numFmt w:val="lowerLetter"/>
      <w:lvlText w:val="%1)"/>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CF1106"/>
    <w:multiLevelType w:val="hybridMultilevel"/>
    <w:tmpl w:val="5A2A7B22"/>
    <w:lvl w:ilvl="0" w:tplc="679C2894">
      <w:start w:val="1"/>
      <w:numFmt w:val="lowerLetter"/>
      <w:lvlText w:val="%1)"/>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A3A9E"/>
    <w:multiLevelType w:val="hybridMultilevel"/>
    <w:tmpl w:val="B2C23CFA"/>
    <w:lvl w:ilvl="0" w:tplc="058ADC80">
      <w:start w:val="1"/>
      <w:numFmt w:val="decimal"/>
      <w:lvlText w:val="(%1)"/>
      <w:lvlJc w:val="left"/>
      <w:pPr>
        <w:tabs>
          <w:tab w:val="num" w:pos="425"/>
        </w:tabs>
        <w:ind w:left="425" w:hanging="425"/>
      </w:pPr>
      <w:rPr>
        <w:rFonts w:ascii="Arial" w:hAnsi="Arial" w:hint="default"/>
        <w:b w:val="0"/>
        <w:i w:val="0"/>
        <w:sz w:val="22"/>
        <w:szCs w:val="22"/>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402C29"/>
    <w:multiLevelType w:val="hybridMultilevel"/>
    <w:tmpl w:val="A230ABB8"/>
    <w:lvl w:ilvl="0" w:tplc="1C8A60F6">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6A6E9C">
      <w:start w:val="1"/>
      <w:numFmt w:val="lowerLetter"/>
      <w:pStyle w:val="StyleHeading2NotItalic"/>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8E9BF6">
      <w:start w:val="1"/>
      <w:numFmt w:val="lowerRoman"/>
      <w:lvlText w:val="(%3)"/>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0CCBC8E">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AE07032">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B245446">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7AC29F8">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B18B126">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9D0C0C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69028CB"/>
    <w:multiLevelType w:val="hybridMultilevel"/>
    <w:tmpl w:val="D944BB00"/>
    <w:lvl w:ilvl="0" w:tplc="058ADC80">
      <w:start w:val="1"/>
      <w:numFmt w:val="decimal"/>
      <w:pStyle w:val="Numbered"/>
      <w:lvlText w:val="(%1)"/>
      <w:lvlJc w:val="left"/>
      <w:pPr>
        <w:tabs>
          <w:tab w:val="num" w:pos="425"/>
        </w:tabs>
        <w:ind w:left="425" w:hanging="425"/>
      </w:pPr>
      <w:rPr>
        <w:rFonts w:ascii="Arial" w:hAnsi="Arial"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315178"/>
    <w:multiLevelType w:val="hybridMultilevel"/>
    <w:tmpl w:val="53EAC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B523073"/>
    <w:multiLevelType w:val="multilevel"/>
    <w:tmpl w:val="00120FD2"/>
    <w:lvl w:ilvl="0">
      <w:start w:val="1"/>
      <w:numFmt w:val="decimal"/>
      <w:pStyle w:val="AppendixHeadingLevel1"/>
      <w:lvlText w:val="A%1"/>
      <w:lvlJc w:val="left"/>
      <w:pPr>
        <w:tabs>
          <w:tab w:val="num" w:pos="851"/>
        </w:tabs>
        <w:ind w:left="851" w:hanging="851"/>
      </w:pPr>
      <w:rPr>
        <w:rFonts w:hint="default"/>
      </w:rPr>
    </w:lvl>
    <w:lvl w:ilvl="1">
      <w:start w:val="1"/>
      <w:numFmt w:val="decimal"/>
      <w:pStyle w:val="AppendixHeadingLevel2"/>
      <w:lvlText w:val="A%1.%2"/>
      <w:lvlJc w:val="left"/>
      <w:pPr>
        <w:tabs>
          <w:tab w:val="num" w:pos="851"/>
        </w:tabs>
        <w:ind w:left="851" w:hanging="851"/>
      </w:pPr>
      <w:rPr>
        <w:rFonts w:hint="default"/>
      </w:rPr>
    </w:lvl>
    <w:lvl w:ilvl="2">
      <w:start w:val="1"/>
      <w:numFmt w:val="decimal"/>
      <w:pStyle w:val="AppendixHeadingLevel3"/>
      <w:lvlText w:val="A%1.%2.%3"/>
      <w:lvlJc w:val="left"/>
      <w:pPr>
        <w:tabs>
          <w:tab w:val="num" w:pos="851"/>
        </w:tabs>
        <w:ind w:left="851" w:hanging="851"/>
      </w:pPr>
      <w:rPr>
        <w:rFonts w:hint="default"/>
      </w:rPr>
    </w:lvl>
    <w:lvl w:ilvl="3">
      <w:start w:val="1"/>
      <w:numFmt w:val="decimal"/>
      <w:pStyle w:val="AppendixHeadingLevel4"/>
      <w:lvlText w:val="A%1.%2.%3.%4"/>
      <w:lvlJc w:val="left"/>
      <w:pPr>
        <w:ind w:left="851" w:hanging="851"/>
      </w:pPr>
      <w:rPr>
        <w:rFonts w:hint="default"/>
      </w:rPr>
    </w:lvl>
    <w:lvl w:ilvl="4">
      <w:start w:val="1"/>
      <w:numFmt w:val="decimal"/>
      <w:pStyle w:val="AppendixHeadingLevel5"/>
      <w:lvlText w:val="A%1.%2.%3.%4.%5"/>
      <w:lvlJc w:val="left"/>
      <w:pPr>
        <w:ind w:left="992"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B66B4E"/>
    <w:multiLevelType w:val="hybridMultilevel"/>
    <w:tmpl w:val="D8A028B6"/>
    <w:lvl w:ilvl="0" w:tplc="76BEE87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6416640A"/>
    <w:multiLevelType w:val="hybridMultilevel"/>
    <w:tmpl w:val="60D8D156"/>
    <w:lvl w:ilvl="0" w:tplc="08090017">
      <w:start w:val="1"/>
      <w:numFmt w:val="lowerLetter"/>
      <w:lvlText w:val="%1)"/>
      <w:lvlJc w:val="left"/>
      <w:pPr>
        <w:ind w:left="1296" w:hanging="360"/>
      </w:pPr>
      <w:rPr>
        <w:rFonts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0" w15:restartNumberingAfterBreak="0">
    <w:nsid w:val="66CB5113"/>
    <w:multiLevelType w:val="multilevel"/>
    <w:tmpl w:val="1C76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C17B19"/>
    <w:multiLevelType w:val="hybridMultilevel"/>
    <w:tmpl w:val="93BAE3BE"/>
    <w:lvl w:ilvl="0" w:tplc="058ADC80">
      <w:start w:val="1"/>
      <w:numFmt w:val="decimal"/>
      <w:lvlText w:val="(%1)"/>
      <w:lvlJc w:val="left"/>
      <w:pPr>
        <w:tabs>
          <w:tab w:val="num" w:pos="425"/>
        </w:tabs>
        <w:ind w:left="425" w:hanging="425"/>
      </w:pPr>
      <w:rPr>
        <w:rFonts w:ascii="Arial" w:hAnsi="Arial" w:hint="default"/>
        <w:b w:val="0"/>
        <w:i w:val="0"/>
        <w:sz w:val="22"/>
        <w:szCs w:val="22"/>
      </w:r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2E5978"/>
    <w:multiLevelType w:val="hybridMultilevel"/>
    <w:tmpl w:val="2BDCF70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6B42D5"/>
    <w:multiLevelType w:val="hybridMultilevel"/>
    <w:tmpl w:val="01BE18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8B412F"/>
    <w:multiLevelType w:val="multilevel"/>
    <w:tmpl w:val="F9025742"/>
    <w:styleLink w:val="Bulletindent1"/>
    <w:lvl w:ilvl="0">
      <w:start w:val="1"/>
      <w:numFmt w:val="lowerLetter"/>
      <w:lvlText w:val="%1)"/>
      <w:lvlJc w:val="left"/>
      <w:pPr>
        <w:tabs>
          <w:tab w:val="num" w:pos="1418"/>
        </w:tabs>
        <w:ind w:left="1418" w:hanging="426"/>
      </w:pPr>
      <w:rPr>
        <w:rFonts w:ascii="Arial" w:hAnsi="Arial" w:hint="default"/>
        <w:b w:val="0"/>
        <w:i w:val="0"/>
        <w:sz w:val="22"/>
        <w:szCs w:val="22"/>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31470E"/>
    <w:multiLevelType w:val="hybridMultilevel"/>
    <w:tmpl w:val="5A2A7B22"/>
    <w:lvl w:ilvl="0" w:tplc="679C2894">
      <w:start w:val="1"/>
      <w:numFmt w:val="lowerLetter"/>
      <w:lvlText w:val="%1)"/>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E2502C"/>
    <w:multiLevelType w:val="multilevel"/>
    <w:tmpl w:val="BAB8A858"/>
    <w:lvl w:ilvl="0">
      <w:start w:val="1"/>
      <w:numFmt w:val="decimal"/>
      <w:lvlText w:val="P%1."/>
      <w:lvlJc w:val="left"/>
      <w:pPr>
        <w:ind w:left="360" w:hanging="360"/>
      </w:pPr>
      <w:rPr>
        <w:rFonts w:hint="default"/>
      </w:rPr>
    </w:lvl>
    <w:lvl w:ilvl="1">
      <w:start w:val="1"/>
      <w:numFmt w:val="decimal"/>
      <w:lvlText w:val="P%1.%2"/>
      <w:lvlJc w:val="left"/>
      <w:pPr>
        <w:ind w:left="576" w:hanging="576"/>
      </w:pPr>
      <w:rPr>
        <w:rFonts w:hint="default"/>
      </w:rPr>
    </w:lvl>
    <w:lvl w:ilvl="2">
      <w:start w:val="1"/>
      <w:numFmt w:val="decimal"/>
      <w:lvlText w:val="P%1.%2.%3"/>
      <w:lvlJc w:val="left"/>
      <w:pPr>
        <w:ind w:left="720" w:hanging="720"/>
      </w:pPr>
      <w:rPr>
        <w:rFonts w:hint="default"/>
        <w:b/>
        <w:bCs/>
        <w:strike w:val="0"/>
      </w:rPr>
    </w:lvl>
    <w:lvl w:ilvl="3">
      <w:start w:val="1"/>
      <w:numFmt w:val="lowerLetter"/>
      <w:lvlText w:val="%4)"/>
      <w:lvlJc w:val="left"/>
      <w:pPr>
        <w:ind w:left="864" w:hanging="864"/>
      </w:pPr>
      <w:rPr>
        <w:rFonts w:hint="default"/>
        <w:b w:val="0"/>
        <w:bCs/>
        <w:i w:val="0"/>
        <w:iCs/>
        <w:strike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94D4845"/>
    <w:multiLevelType w:val="hybridMultilevel"/>
    <w:tmpl w:val="4F4EE6C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num w:numId="1">
    <w:abstractNumId w:val="5"/>
  </w:num>
  <w:num w:numId="2">
    <w:abstractNumId w:val="4"/>
  </w:num>
  <w:num w:numId="3">
    <w:abstractNumId w:val="34"/>
  </w:num>
  <w:num w:numId="4">
    <w:abstractNumId w:val="9"/>
  </w:num>
  <w:num w:numId="5">
    <w:abstractNumId w:val="24"/>
  </w:num>
  <w:num w:numId="6">
    <w:abstractNumId w:val="25"/>
  </w:num>
  <w:num w:numId="7">
    <w:abstractNumId w:val="23"/>
  </w:num>
  <w:num w:numId="8">
    <w:abstractNumId w:val="27"/>
  </w:num>
  <w:num w:numId="9">
    <w:abstractNumId w:val="30"/>
  </w:num>
  <w:num w:numId="10">
    <w:abstractNumId w:val="37"/>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8"/>
  </w:num>
  <w:num w:numId="17">
    <w:abstractNumId w:val="25"/>
  </w:num>
  <w:num w:numId="18">
    <w:abstractNumId w:val="25"/>
  </w:num>
  <w:num w:numId="19">
    <w:abstractNumId w:val="25"/>
  </w:num>
  <w:num w:numId="20">
    <w:abstractNumId w:val="25"/>
  </w:num>
  <w:num w:numId="21">
    <w:abstractNumId w:val="25"/>
  </w:num>
  <w:num w:numId="22">
    <w:abstractNumId w:val="13"/>
  </w:num>
  <w:num w:numId="23">
    <w:abstractNumId w:val="25"/>
  </w:num>
  <w:num w:numId="24">
    <w:abstractNumId w:val="9"/>
    <w:lvlOverride w:ilvl="0">
      <w:startOverride w:val="1"/>
    </w:lvlOverride>
  </w:num>
  <w:num w:numId="25">
    <w:abstractNumId w:val="25"/>
  </w:num>
  <w:num w:numId="26">
    <w:abstractNumId w:val="25"/>
  </w:num>
  <w:num w:numId="27">
    <w:abstractNumId w:val="25"/>
  </w:num>
  <w:num w:numId="28">
    <w:abstractNumId w:val="25"/>
  </w:num>
  <w:num w:numId="29">
    <w:abstractNumId w:val="26"/>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7"/>
  </w:num>
  <w:num w:numId="37">
    <w:abstractNumId w:val="31"/>
  </w:num>
  <w:num w:numId="38">
    <w:abstractNumId w:val="6"/>
  </w:num>
  <w:num w:numId="39">
    <w:abstractNumId w:val="15"/>
  </w:num>
  <w:num w:numId="40">
    <w:abstractNumId w:val="25"/>
  </w:num>
  <w:num w:numId="41">
    <w:abstractNumId w:val="10"/>
  </w:num>
  <w:num w:numId="42">
    <w:abstractNumId w:val="7"/>
  </w:num>
  <w:num w:numId="43">
    <w:abstractNumId w:val="25"/>
  </w:num>
  <w:num w:numId="44">
    <w:abstractNumId w:val="36"/>
  </w:num>
  <w:num w:numId="45">
    <w:abstractNumId w:val="18"/>
  </w:num>
  <w:num w:numId="46">
    <w:abstractNumId w:val="12"/>
  </w:num>
  <w:num w:numId="47">
    <w:abstractNumId w:val="14"/>
  </w:num>
  <w:num w:numId="48">
    <w:abstractNumId w:val="7"/>
  </w:num>
  <w:num w:numId="49">
    <w:abstractNumId w:val="2"/>
  </w:num>
  <w:num w:numId="50">
    <w:abstractNumId w:val="7"/>
  </w:num>
  <w:num w:numId="51">
    <w:abstractNumId w:val="7"/>
  </w:num>
  <w:num w:numId="52">
    <w:abstractNumId w:val="33"/>
  </w:num>
  <w:num w:numId="53">
    <w:abstractNumId w:val="7"/>
  </w:num>
  <w:num w:numId="54">
    <w:abstractNumId w:val="7"/>
  </w:num>
  <w:num w:numId="55">
    <w:abstractNumId w:val="8"/>
  </w:num>
  <w:num w:numId="56">
    <w:abstractNumId w:val="7"/>
  </w:num>
  <w:num w:numId="57">
    <w:abstractNumId w:val="7"/>
  </w:num>
  <w:num w:numId="58">
    <w:abstractNumId w:val="7"/>
  </w:num>
  <w:num w:numId="59">
    <w:abstractNumId w:val="7"/>
  </w:num>
  <w:num w:numId="60">
    <w:abstractNumId w:val="0"/>
  </w:num>
  <w:num w:numId="61">
    <w:abstractNumId w:val="17"/>
  </w:num>
  <w:num w:numId="62">
    <w:abstractNumId w:val="20"/>
  </w:num>
  <w:num w:numId="63">
    <w:abstractNumId w:val="19"/>
  </w:num>
  <w:num w:numId="64">
    <w:abstractNumId w:val="35"/>
  </w:num>
  <w:num w:numId="65">
    <w:abstractNumId w:val="29"/>
  </w:num>
  <w:num w:numId="66">
    <w:abstractNumId w:val="16"/>
  </w:num>
  <w:num w:numId="67">
    <w:abstractNumId w:val="32"/>
  </w:num>
  <w:num w:numId="68">
    <w:abstractNumId w:val="7"/>
  </w:num>
  <w:num w:numId="69">
    <w:abstractNumId w:val="7"/>
  </w:num>
  <w:num w:numId="70">
    <w:abstractNumId w:val="22"/>
  </w:num>
  <w:num w:numId="71">
    <w:abstractNumId w:val="7"/>
  </w:num>
  <w:num w:numId="72">
    <w:abstractNumId w:val="21"/>
  </w:num>
  <w:num w:numId="73">
    <w:abstractNumId w:val="7"/>
  </w:num>
  <w:num w:numId="74">
    <w:abstractNumId w:val="1"/>
  </w:num>
  <w:num w:numId="75">
    <w:abstractNumId w:val="25"/>
  </w:num>
  <w:num w:numId="76">
    <w:abstractNumId w:val="1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embedSystemFont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238"/>
    <w:rsid w:val="00001EE7"/>
    <w:rsid w:val="00004697"/>
    <w:rsid w:val="00006439"/>
    <w:rsid w:val="00007EF3"/>
    <w:rsid w:val="0001015A"/>
    <w:rsid w:val="000112F2"/>
    <w:rsid w:val="00014EDE"/>
    <w:rsid w:val="00015C22"/>
    <w:rsid w:val="00016D55"/>
    <w:rsid w:val="00021C01"/>
    <w:rsid w:val="00024AFF"/>
    <w:rsid w:val="00026E9B"/>
    <w:rsid w:val="00031768"/>
    <w:rsid w:val="000347CD"/>
    <w:rsid w:val="00036C94"/>
    <w:rsid w:val="000430C6"/>
    <w:rsid w:val="00045523"/>
    <w:rsid w:val="00052E3C"/>
    <w:rsid w:val="00064DE6"/>
    <w:rsid w:val="000659B8"/>
    <w:rsid w:val="00065D4E"/>
    <w:rsid w:val="00067985"/>
    <w:rsid w:val="000718AD"/>
    <w:rsid w:val="00074092"/>
    <w:rsid w:val="00076C9A"/>
    <w:rsid w:val="00080681"/>
    <w:rsid w:val="00081783"/>
    <w:rsid w:val="0008388B"/>
    <w:rsid w:val="0008575F"/>
    <w:rsid w:val="00086F3A"/>
    <w:rsid w:val="00093F17"/>
    <w:rsid w:val="00094269"/>
    <w:rsid w:val="000A19D9"/>
    <w:rsid w:val="000A6083"/>
    <w:rsid w:val="000A78E1"/>
    <w:rsid w:val="000B02CF"/>
    <w:rsid w:val="000B04F8"/>
    <w:rsid w:val="000B24D0"/>
    <w:rsid w:val="000B36E6"/>
    <w:rsid w:val="000B54B2"/>
    <w:rsid w:val="000B6C68"/>
    <w:rsid w:val="000C0D53"/>
    <w:rsid w:val="000C4FEC"/>
    <w:rsid w:val="000C5B74"/>
    <w:rsid w:val="000D0CFB"/>
    <w:rsid w:val="000D5218"/>
    <w:rsid w:val="000E10D5"/>
    <w:rsid w:val="000E1605"/>
    <w:rsid w:val="000E321D"/>
    <w:rsid w:val="000E446F"/>
    <w:rsid w:val="000F08A8"/>
    <w:rsid w:val="001010BA"/>
    <w:rsid w:val="00102C9E"/>
    <w:rsid w:val="00106BBD"/>
    <w:rsid w:val="0010703C"/>
    <w:rsid w:val="00111AAD"/>
    <w:rsid w:val="00111DA9"/>
    <w:rsid w:val="00116808"/>
    <w:rsid w:val="00117ABE"/>
    <w:rsid w:val="00122FE6"/>
    <w:rsid w:val="00125079"/>
    <w:rsid w:val="0013244D"/>
    <w:rsid w:val="001329FE"/>
    <w:rsid w:val="001338A3"/>
    <w:rsid w:val="00134DA1"/>
    <w:rsid w:val="00135D0F"/>
    <w:rsid w:val="001540A6"/>
    <w:rsid w:val="0015445A"/>
    <w:rsid w:val="00155FDC"/>
    <w:rsid w:val="001657D7"/>
    <w:rsid w:val="001701C2"/>
    <w:rsid w:val="00174BF9"/>
    <w:rsid w:val="00180ECC"/>
    <w:rsid w:val="00181546"/>
    <w:rsid w:val="00181D50"/>
    <w:rsid w:val="00183541"/>
    <w:rsid w:val="001904ED"/>
    <w:rsid w:val="001919BA"/>
    <w:rsid w:val="00195AA4"/>
    <w:rsid w:val="00196D9C"/>
    <w:rsid w:val="0019753F"/>
    <w:rsid w:val="001A7A69"/>
    <w:rsid w:val="001C2152"/>
    <w:rsid w:val="001C5309"/>
    <w:rsid w:val="001E147E"/>
    <w:rsid w:val="001F5A5E"/>
    <w:rsid w:val="001F6285"/>
    <w:rsid w:val="001F6E4B"/>
    <w:rsid w:val="002007EE"/>
    <w:rsid w:val="00207A21"/>
    <w:rsid w:val="00211E90"/>
    <w:rsid w:val="002168C4"/>
    <w:rsid w:val="0022066A"/>
    <w:rsid w:val="00224F5D"/>
    <w:rsid w:val="00226ECA"/>
    <w:rsid w:val="00230265"/>
    <w:rsid w:val="00230656"/>
    <w:rsid w:val="002308E2"/>
    <w:rsid w:val="00234C80"/>
    <w:rsid w:val="002351D0"/>
    <w:rsid w:val="002403BE"/>
    <w:rsid w:val="00242F04"/>
    <w:rsid w:val="0024371F"/>
    <w:rsid w:val="00251694"/>
    <w:rsid w:val="0025224F"/>
    <w:rsid w:val="00254D25"/>
    <w:rsid w:val="00257ACC"/>
    <w:rsid w:val="0026035B"/>
    <w:rsid w:val="002612DA"/>
    <w:rsid w:val="00261B53"/>
    <w:rsid w:val="002725F0"/>
    <w:rsid w:val="0027280E"/>
    <w:rsid w:val="00275EEB"/>
    <w:rsid w:val="00276801"/>
    <w:rsid w:val="002902A2"/>
    <w:rsid w:val="00296675"/>
    <w:rsid w:val="002B07AB"/>
    <w:rsid w:val="002B41E1"/>
    <w:rsid w:val="002C09C1"/>
    <w:rsid w:val="002C1606"/>
    <w:rsid w:val="002C6391"/>
    <w:rsid w:val="002C6E48"/>
    <w:rsid w:val="002D2D6A"/>
    <w:rsid w:val="002D41F0"/>
    <w:rsid w:val="002D7DA6"/>
    <w:rsid w:val="002E183D"/>
    <w:rsid w:val="002E2469"/>
    <w:rsid w:val="002E25CB"/>
    <w:rsid w:val="002E3B14"/>
    <w:rsid w:val="002E3E2C"/>
    <w:rsid w:val="002E456A"/>
    <w:rsid w:val="002F015F"/>
    <w:rsid w:val="002F0898"/>
    <w:rsid w:val="002F19D6"/>
    <w:rsid w:val="002F337D"/>
    <w:rsid w:val="002F509D"/>
    <w:rsid w:val="002F7235"/>
    <w:rsid w:val="00306DAC"/>
    <w:rsid w:val="0031140D"/>
    <w:rsid w:val="00312DE6"/>
    <w:rsid w:val="00317AEA"/>
    <w:rsid w:val="00321E8D"/>
    <w:rsid w:val="0032549C"/>
    <w:rsid w:val="003270D4"/>
    <w:rsid w:val="0033041A"/>
    <w:rsid w:val="0033182F"/>
    <w:rsid w:val="00334FE6"/>
    <w:rsid w:val="00337A75"/>
    <w:rsid w:val="00342E5E"/>
    <w:rsid w:val="0034468B"/>
    <w:rsid w:val="00350EFC"/>
    <w:rsid w:val="00356E29"/>
    <w:rsid w:val="00356F62"/>
    <w:rsid w:val="00357BBE"/>
    <w:rsid w:val="00357EDB"/>
    <w:rsid w:val="0036310F"/>
    <w:rsid w:val="00364A01"/>
    <w:rsid w:val="00372BC8"/>
    <w:rsid w:val="00375254"/>
    <w:rsid w:val="0037720E"/>
    <w:rsid w:val="00380466"/>
    <w:rsid w:val="00381F68"/>
    <w:rsid w:val="00382226"/>
    <w:rsid w:val="00384719"/>
    <w:rsid w:val="00385E05"/>
    <w:rsid w:val="00387095"/>
    <w:rsid w:val="003914D3"/>
    <w:rsid w:val="0039212D"/>
    <w:rsid w:val="003955F0"/>
    <w:rsid w:val="003A1108"/>
    <w:rsid w:val="003A1A8D"/>
    <w:rsid w:val="003A50A8"/>
    <w:rsid w:val="003B0BD7"/>
    <w:rsid w:val="003B3124"/>
    <w:rsid w:val="003B324A"/>
    <w:rsid w:val="003B4D3B"/>
    <w:rsid w:val="003B5291"/>
    <w:rsid w:val="003B587E"/>
    <w:rsid w:val="003C2A66"/>
    <w:rsid w:val="003C314D"/>
    <w:rsid w:val="003C62B4"/>
    <w:rsid w:val="003C7F25"/>
    <w:rsid w:val="003D17DE"/>
    <w:rsid w:val="003D2B82"/>
    <w:rsid w:val="003E13AB"/>
    <w:rsid w:val="003E2B88"/>
    <w:rsid w:val="003E2CB4"/>
    <w:rsid w:val="003E52F6"/>
    <w:rsid w:val="003F12E4"/>
    <w:rsid w:val="003F2CCE"/>
    <w:rsid w:val="003F5FE2"/>
    <w:rsid w:val="003F67A1"/>
    <w:rsid w:val="003F6DAD"/>
    <w:rsid w:val="00401FB7"/>
    <w:rsid w:val="004154BC"/>
    <w:rsid w:val="004311D7"/>
    <w:rsid w:val="00431B8B"/>
    <w:rsid w:val="004321C8"/>
    <w:rsid w:val="00435C77"/>
    <w:rsid w:val="00437D23"/>
    <w:rsid w:val="004429D0"/>
    <w:rsid w:val="00442A10"/>
    <w:rsid w:val="004443F7"/>
    <w:rsid w:val="00445717"/>
    <w:rsid w:val="0045165F"/>
    <w:rsid w:val="0045518F"/>
    <w:rsid w:val="00461617"/>
    <w:rsid w:val="004638C2"/>
    <w:rsid w:val="00470BDD"/>
    <w:rsid w:val="00473474"/>
    <w:rsid w:val="00477AD8"/>
    <w:rsid w:val="00483736"/>
    <w:rsid w:val="0048411B"/>
    <w:rsid w:val="00484481"/>
    <w:rsid w:val="00487238"/>
    <w:rsid w:val="00487350"/>
    <w:rsid w:val="00491029"/>
    <w:rsid w:val="004971A7"/>
    <w:rsid w:val="004A0E28"/>
    <w:rsid w:val="004A3629"/>
    <w:rsid w:val="004A4C52"/>
    <w:rsid w:val="004A51FC"/>
    <w:rsid w:val="004B0638"/>
    <w:rsid w:val="004B091D"/>
    <w:rsid w:val="004B6980"/>
    <w:rsid w:val="004C45F8"/>
    <w:rsid w:val="004C4AA7"/>
    <w:rsid w:val="004D1E59"/>
    <w:rsid w:val="004D5EB0"/>
    <w:rsid w:val="004D74BB"/>
    <w:rsid w:val="004D7D9A"/>
    <w:rsid w:val="004E1462"/>
    <w:rsid w:val="004E17E7"/>
    <w:rsid w:val="004E640F"/>
    <w:rsid w:val="004E6D06"/>
    <w:rsid w:val="004F2E8F"/>
    <w:rsid w:val="004F46DE"/>
    <w:rsid w:val="004F53CC"/>
    <w:rsid w:val="004F5DC1"/>
    <w:rsid w:val="004F7DBA"/>
    <w:rsid w:val="00501CF3"/>
    <w:rsid w:val="00503C83"/>
    <w:rsid w:val="00510CD2"/>
    <w:rsid w:val="00516FED"/>
    <w:rsid w:val="005204D2"/>
    <w:rsid w:val="00521CAB"/>
    <w:rsid w:val="00522668"/>
    <w:rsid w:val="0052330C"/>
    <w:rsid w:val="00523B56"/>
    <w:rsid w:val="00526253"/>
    <w:rsid w:val="0053451D"/>
    <w:rsid w:val="00534B73"/>
    <w:rsid w:val="00536E9F"/>
    <w:rsid w:val="0054016F"/>
    <w:rsid w:val="00544781"/>
    <w:rsid w:val="00547908"/>
    <w:rsid w:val="00550B56"/>
    <w:rsid w:val="0055205E"/>
    <w:rsid w:val="00560A91"/>
    <w:rsid w:val="00563D1A"/>
    <w:rsid w:val="00564F63"/>
    <w:rsid w:val="00570C1B"/>
    <w:rsid w:val="00572BAD"/>
    <w:rsid w:val="005736F6"/>
    <w:rsid w:val="00575026"/>
    <w:rsid w:val="00580370"/>
    <w:rsid w:val="005902C0"/>
    <w:rsid w:val="005A0318"/>
    <w:rsid w:val="005A3731"/>
    <w:rsid w:val="005A4C75"/>
    <w:rsid w:val="005A5DDD"/>
    <w:rsid w:val="005A6ABA"/>
    <w:rsid w:val="005B540C"/>
    <w:rsid w:val="005B5F75"/>
    <w:rsid w:val="005C155F"/>
    <w:rsid w:val="005C2CFF"/>
    <w:rsid w:val="005C44DC"/>
    <w:rsid w:val="005C4602"/>
    <w:rsid w:val="005C5ADE"/>
    <w:rsid w:val="005D08CC"/>
    <w:rsid w:val="005D4ACF"/>
    <w:rsid w:val="005D7DCF"/>
    <w:rsid w:val="005E24A4"/>
    <w:rsid w:val="005E5F94"/>
    <w:rsid w:val="005F17B6"/>
    <w:rsid w:val="005F4669"/>
    <w:rsid w:val="00600A1D"/>
    <w:rsid w:val="00611B07"/>
    <w:rsid w:val="00612050"/>
    <w:rsid w:val="006208E5"/>
    <w:rsid w:val="00622210"/>
    <w:rsid w:val="006248FF"/>
    <w:rsid w:val="00631A12"/>
    <w:rsid w:val="0063337D"/>
    <w:rsid w:val="00633E18"/>
    <w:rsid w:val="00640647"/>
    <w:rsid w:val="00640902"/>
    <w:rsid w:val="00644919"/>
    <w:rsid w:val="00644E01"/>
    <w:rsid w:val="00646DC9"/>
    <w:rsid w:val="006574E9"/>
    <w:rsid w:val="00662C1D"/>
    <w:rsid w:val="00666549"/>
    <w:rsid w:val="006678A8"/>
    <w:rsid w:val="00682494"/>
    <w:rsid w:val="00683EAD"/>
    <w:rsid w:val="00684967"/>
    <w:rsid w:val="00686C91"/>
    <w:rsid w:val="00690B67"/>
    <w:rsid w:val="006937FB"/>
    <w:rsid w:val="0069741A"/>
    <w:rsid w:val="006A090D"/>
    <w:rsid w:val="006A1F95"/>
    <w:rsid w:val="006A44B1"/>
    <w:rsid w:val="006A6AE8"/>
    <w:rsid w:val="006B5165"/>
    <w:rsid w:val="006C2A6D"/>
    <w:rsid w:val="006C5059"/>
    <w:rsid w:val="006C7477"/>
    <w:rsid w:val="006D52D1"/>
    <w:rsid w:val="006D569B"/>
    <w:rsid w:val="006D5E1E"/>
    <w:rsid w:val="006D7A64"/>
    <w:rsid w:val="006D7CF9"/>
    <w:rsid w:val="006E0B09"/>
    <w:rsid w:val="006E13AD"/>
    <w:rsid w:val="006E26C8"/>
    <w:rsid w:val="006E6770"/>
    <w:rsid w:val="006F0F1F"/>
    <w:rsid w:val="006F29D1"/>
    <w:rsid w:val="006F4AE3"/>
    <w:rsid w:val="0070016B"/>
    <w:rsid w:val="00704889"/>
    <w:rsid w:val="00704D54"/>
    <w:rsid w:val="007061AD"/>
    <w:rsid w:val="00710226"/>
    <w:rsid w:val="00711EA9"/>
    <w:rsid w:val="00712563"/>
    <w:rsid w:val="00712625"/>
    <w:rsid w:val="00715606"/>
    <w:rsid w:val="00717363"/>
    <w:rsid w:val="007174B0"/>
    <w:rsid w:val="00717E8F"/>
    <w:rsid w:val="00730F18"/>
    <w:rsid w:val="0073180B"/>
    <w:rsid w:val="007349CC"/>
    <w:rsid w:val="0073547E"/>
    <w:rsid w:val="00735971"/>
    <w:rsid w:val="00737D59"/>
    <w:rsid w:val="00751A47"/>
    <w:rsid w:val="00752C22"/>
    <w:rsid w:val="00753830"/>
    <w:rsid w:val="0075414D"/>
    <w:rsid w:val="00767388"/>
    <w:rsid w:val="0076766B"/>
    <w:rsid w:val="0077073C"/>
    <w:rsid w:val="00775CDB"/>
    <w:rsid w:val="0077603E"/>
    <w:rsid w:val="00780666"/>
    <w:rsid w:val="00781E09"/>
    <w:rsid w:val="00794536"/>
    <w:rsid w:val="00795EE0"/>
    <w:rsid w:val="00796ADD"/>
    <w:rsid w:val="00797502"/>
    <w:rsid w:val="00797C5B"/>
    <w:rsid w:val="007A0116"/>
    <w:rsid w:val="007A4A7E"/>
    <w:rsid w:val="007A5029"/>
    <w:rsid w:val="007A61CD"/>
    <w:rsid w:val="007B3083"/>
    <w:rsid w:val="007B5CD5"/>
    <w:rsid w:val="007C4A86"/>
    <w:rsid w:val="007C58A5"/>
    <w:rsid w:val="007C76FF"/>
    <w:rsid w:val="007D263E"/>
    <w:rsid w:val="007D6144"/>
    <w:rsid w:val="007E15DA"/>
    <w:rsid w:val="007E1B58"/>
    <w:rsid w:val="007E79BD"/>
    <w:rsid w:val="007F0E0D"/>
    <w:rsid w:val="007F1EEC"/>
    <w:rsid w:val="007F3F1B"/>
    <w:rsid w:val="007F43EF"/>
    <w:rsid w:val="00805CD6"/>
    <w:rsid w:val="00813A47"/>
    <w:rsid w:val="0081527D"/>
    <w:rsid w:val="008160A8"/>
    <w:rsid w:val="00822AF3"/>
    <w:rsid w:val="00823285"/>
    <w:rsid w:val="008237C0"/>
    <w:rsid w:val="00824C9F"/>
    <w:rsid w:val="008262E9"/>
    <w:rsid w:val="008269AF"/>
    <w:rsid w:val="00826FE0"/>
    <w:rsid w:val="00836A0C"/>
    <w:rsid w:val="0084421D"/>
    <w:rsid w:val="00844EEF"/>
    <w:rsid w:val="00845FB4"/>
    <w:rsid w:val="00846D0B"/>
    <w:rsid w:val="00847A7C"/>
    <w:rsid w:val="00847B80"/>
    <w:rsid w:val="008507EB"/>
    <w:rsid w:val="00851D9B"/>
    <w:rsid w:val="008525CE"/>
    <w:rsid w:val="00854B84"/>
    <w:rsid w:val="00855885"/>
    <w:rsid w:val="0085685E"/>
    <w:rsid w:val="0085686E"/>
    <w:rsid w:val="00856E3D"/>
    <w:rsid w:val="00860BE9"/>
    <w:rsid w:val="00861B38"/>
    <w:rsid w:val="0086305E"/>
    <w:rsid w:val="00870C0F"/>
    <w:rsid w:val="00870E73"/>
    <w:rsid w:val="008741BD"/>
    <w:rsid w:val="008760B2"/>
    <w:rsid w:val="008817C5"/>
    <w:rsid w:val="0088636B"/>
    <w:rsid w:val="00890387"/>
    <w:rsid w:val="008915C4"/>
    <w:rsid w:val="008A4CA3"/>
    <w:rsid w:val="008B3A67"/>
    <w:rsid w:val="008C1890"/>
    <w:rsid w:val="008C270B"/>
    <w:rsid w:val="008D07B0"/>
    <w:rsid w:val="008D2D3D"/>
    <w:rsid w:val="008D39B1"/>
    <w:rsid w:val="008D54DF"/>
    <w:rsid w:val="008D5AF1"/>
    <w:rsid w:val="008D7D65"/>
    <w:rsid w:val="008E1DCB"/>
    <w:rsid w:val="008E2FB9"/>
    <w:rsid w:val="008F22EE"/>
    <w:rsid w:val="008F3C51"/>
    <w:rsid w:val="008F5CA6"/>
    <w:rsid w:val="008F7AA8"/>
    <w:rsid w:val="008F7D75"/>
    <w:rsid w:val="009033A7"/>
    <w:rsid w:val="00904928"/>
    <w:rsid w:val="00904EF8"/>
    <w:rsid w:val="00905A96"/>
    <w:rsid w:val="009073CE"/>
    <w:rsid w:val="00912472"/>
    <w:rsid w:val="00913D6A"/>
    <w:rsid w:val="00927844"/>
    <w:rsid w:val="009279A8"/>
    <w:rsid w:val="00932873"/>
    <w:rsid w:val="00933E44"/>
    <w:rsid w:val="00940BBA"/>
    <w:rsid w:val="00943EB4"/>
    <w:rsid w:val="0095160D"/>
    <w:rsid w:val="00952A85"/>
    <w:rsid w:val="00953845"/>
    <w:rsid w:val="00955645"/>
    <w:rsid w:val="00957872"/>
    <w:rsid w:val="009640AD"/>
    <w:rsid w:val="00970633"/>
    <w:rsid w:val="00970E1E"/>
    <w:rsid w:val="009739F4"/>
    <w:rsid w:val="00974587"/>
    <w:rsid w:val="00975886"/>
    <w:rsid w:val="009773CE"/>
    <w:rsid w:val="00980B05"/>
    <w:rsid w:val="00981A47"/>
    <w:rsid w:val="0098393F"/>
    <w:rsid w:val="00987602"/>
    <w:rsid w:val="00987B08"/>
    <w:rsid w:val="00990137"/>
    <w:rsid w:val="0099332D"/>
    <w:rsid w:val="009951EC"/>
    <w:rsid w:val="0099720A"/>
    <w:rsid w:val="009A0045"/>
    <w:rsid w:val="009A074E"/>
    <w:rsid w:val="009A26D9"/>
    <w:rsid w:val="009A6BF9"/>
    <w:rsid w:val="009A7AA3"/>
    <w:rsid w:val="009B5657"/>
    <w:rsid w:val="009C3184"/>
    <w:rsid w:val="009C5533"/>
    <w:rsid w:val="009D05FA"/>
    <w:rsid w:val="009D10C2"/>
    <w:rsid w:val="009D436A"/>
    <w:rsid w:val="009E159F"/>
    <w:rsid w:val="009E4502"/>
    <w:rsid w:val="009E7129"/>
    <w:rsid w:val="009F1176"/>
    <w:rsid w:val="009F375B"/>
    <w:rsid w:val="009F4914"/>
    <w:rsid w:val="009F7BC5"/>
    <w:rsid w:val="00A017AE"/>
    <w:rsid w:val="00A01A25"/>
    <w:rsid w:val="00A10BA8"/>
    <w:rsid w:val="00A134FD"/>
    <w:rsid w:val="00A13A41"/>
    <w:rsid w:val="00A15628"/>
    <w:rsid w:val="00A1594F"/>
    <w:rsid w:val="00A21ABC"/>
    <w:rsid w:val="00A22E7C"/>
    <w:rsid w:val="00A264CF"/>
    <w:rsid w:val="00A26B79"/>
    <w:rsid w:val="00A27EA6"/>
    <w:rsid w:val="00A31871"/>
    <w:rsid w:val="00A33A9D"/>
    <w:rsid w:val="00A4102C"/>
    <w:rsid w:val="00A428AE"/>
    <w:rsid w:val="00A457D8"/>
    <w:rsid w:val="00A5353D"/>
    <w:rsid w:val="00A53E27"/>
    <w:rsid w:val="00A561B7"/>
    <w:rsid w:val="00A609FA"/>
    <w:rsid w:val="00A60DE6"/>
    <w:rsid w:val="00A62831"/>
    <w:rsid w:val="00A65F3F"/>
    <w:rsid w:val="00A66413"/>
    <w:rsid w:val="00A66738"/>
    <w:rsid w:val="00A74585"/>
    <w:rsid w:val="00A77D07"/>
    <w:rsid w:val="00A82404"/>
    <w:rsid w:val="00A86A19"/>
    <w:rsid w:val="00A90AD8"/>
    <w:rsid w:val="00AB0DA8"/>
    <w:rsid w:val="00AB1090"/>
    <w:rsid w:val="00AB1CC9"/>
    <w:rsid w:val="00AB29FE"/>
    <w:rsid w:val="00AB367D"/>
    <w:rsid w:val="00AB4C11"/>
    <w:rsid w:val="00AB5586"/>
    <w:rsid w:val="00AC253D"/>
    <w:rsid w:val="00AC6BD6"/>
    <w:rsid w:val="00AD08E2"/>
    <w:rsid w:val="00AD2397"/>
    <w:rsid w:val="00AD6F2E"/>
    <w:rsid w:val="00AE0EA5"/>
    <w:rsid w:val="00AE24C7"/>
    <w:rsid w:val="00AE3AD5"/>
    <w:rsid w:val="00AE4707"/>
    <w:rsid w:val="00AF00D6"/>
    <w:rsid w:val="00AF0DA4"/>
    <w:rsid w:val="00AF3D98"/>
    <w:rsid w:val="00B04C0B"/>
    <w:rsid w:val="00B057B0"/>
    <w:rsid w:val="00B069E9"/>
    <w:rsid w:val="00B07AE4"/>
    <w:rsid w:val="00B07DB5"/>
    <w:rsid w:val="00B1206F"/>
    <w:rsid w:val="00B15238"/>
    <w:rsid w:val="00B1690E"/>
    <w:rsid w:val="00B17A31"/>
    <w:rsid w:val="00B244A1"/>
    <w:rsid w:val="00B256D1"/>
    <w:rsid w:val="00B320A9"/>
    <w:rsid w:val="00B35284"/>
    <w:rsid w:val="00B352E8"/>
    <w:rsid w:val="00B36B0C"/>
    <w:rsid w:val="00B40C51"/>
    <w:rsid w:val="00B46721"/>
    <w:rsid w:val="00B51693"/>
    <w:rsid w:val="00B54D0D"/>
    <w:rsid w:val="00B54E93"/>
    <w:rsid w:val="00B557D1"/>
    <w:rsid w:val="00B55A4D"/>
    <w:rsid w:val="00B561EE"/>
    <w:rsid w:val="00B57B02"/>
    <w:rsid w:val="00B612A0"/>
    <w:rsid w:val="00B62FE3"/>
    <w:rsid w:val="00B63CDB"/>
    <w:rsid w:val="00B710D5"/>
    <w:rsid w:val="00B73EB0"/>
    <w:rsid w:val="00B75D4C"/>
    <w:rsid w:val="00B77BF8"/>
    <w:rsid w:val="00B869C8"/>
    <w:rsid w:val="00B909C4"/>
    <w:rsid w:val="00B910D7"/>
    <w:rsid w:val="00B918F7"/>
    <w:rsid w:val="00B924DB"/>
    <w:rsid w:val="00B93442"/>
    <w:rsid w:val="00B9400F"/>
    <w:rsid w:val="00B96086"/>
    <w:rsid w:val="00BA00A9"/>
    <w:rsid w:val="00BA139A"/>
    <w:rsid w:val="00BB0F0B"/>
    <w:rsid w:val="00BB6736"/>
    <w:rsid w:val="00BC37DC"/>
    <w:rsid w:val="00BC42EC"/>
    <w:rsid w:val="00BC6305"/>
    <w:rsid w:val="00BC6DAF"/>
    <w:rsid w:val="00BD0C87"/>
    <w:rsid w:val="00BD25DA"/>
    <w:rsid w:val="00BD2D3A"/>
    <w:rsid w:val="00BD3DD4"/>
    <w:rsid w:val="00BD56EF"/>
    <w:rsid w:val="00BD6E1D"/>
    <w:rsid w:val="00BE0051"/>
    <w:rsid w:val="00BE2FFF"/>
    <w:rsid w:val="00BE5371"/>
    <w:rsid w:val="00BF1443"/>
    <w:rsid w:val="00BF1BC0"/>
    <w:rsid w:val="00BF3535"/>
    <w:rsid w:val="00BF5EF7"/>
    <w:rsid w:val="00C0575E"/>
    <w:rsid w:val="00C10ABA"/>
    <w:rsid w:val="00C10F38"/>
    <w:rsid w:val="00C11871"/>
    <w:rsid w:val="00C12FBF"/>
    <w:rsid w:val="00C16E0E"/>
    <w:rsid w:val="00C21866"/>
    <w:rsid w:val="00C21D10"/>
    <w:rsid w:val="00C2263D"/>
    <w:rsid w:val="00C2446D"/>
    <w:rsid w:val="00C256BF"/>
    <w:rsid w:val="00C25D48"/>
    <w:rsid w:val="00C26844"/>
    <w:rsid w:val="00C300CF"/>
    <w:rsid w:val="00C31A88"/>
    <w:rsid w:val="00C3269F"/>
    <w:rsid w:val="00C332C2"/>
    <w:rsid w:val="00C34BEC"/>
    <w:rsid w:val="00C36842"/>
    <w:rsid w:val="00C4137F"/>
    <w:rsid w:val="00C41B6B"/>
    <w:rsid w:val="00C44977"/>
    <w:rsid w:val="00C44CEC"/>
    <w:rsid w:val="00C50312"/>
    <w:rsid w:val="00C51E19"/>
    <w:rsid w:val="00C52A91"/>
    <w:rsid w:val="00C535AD"/>
    <w:rsid w:val="00C55CE6"/>
    <w:rsid w:val="00C64EE3"/>
    <w:rsid w:val="00C71AA4"/>
    <w:rsid w:val="00C71AC6"/>
    <w:rsid w:val="00C750AE"/>
    <w:rsid w:val="00C76317"/>
    <w:rsid w:val="00C77D05"/>
    <w:rsid w:val="00C80BC7"/>
    <w:rsid w:val="00C80D0D"/>
    <w:rsid w:val="00C837BD"/>
    <w:rsid w:val="00C84319"/>
    <w:rsid w:val="00C869CA"/>
    <w:rsid w:val="00C9402E"/>
    <w:rsid w:val="00C96365"/>
    <w:rsid w:val="00CA07C2"/>
    <w:rsid w:val="00CA148B"/>
    <w:rsid w:val="00CA1E03"/>
    <w:rsid w:val="00CA7C2A"/>
    <w:rsid w:val="00CB21CF"/>
    <w:rsid w:val="00CB23A6"/>
    <w:rsid w:val="00CB4D03"/>
    <w:rsid w:val="00CB4D68"/>
    <w:rsid w:val="00CB5C8D"/>
    <w:rsid w:val="00CC0AED"/>
    <w:rsid w:val="00CC420D"/>
    <w:rsid w:val="00CD0700"/>
    <w:rsid w:val="00CD2EEA"/>
    <w:rsid w:val="00CD4F3F"/>
    <w:rsid w:val="00CE29CE"/>
    <w:rsid w:val="00CE38B1"/>
    <w:rsid w:val="00CE4883"/>
    <w:rsid w:val="00CF4E38"/>
    <w:rsid w:val="00CF54C6"/>
    <w:rsid w:val="00CF54FF"/>
    <w:rsid w:val="00CF6D2B"/>
    <w:rsid w:val="00D0402A"/>
    <w:rsid w:val="00D058C0"/>
    <w:rsid w:val="00D0699E"/>
    <w:rsid w:val="00D06D7D"/>
    <w:rsid w:val="00D15276"/>
    <w:rsid w:val="00D24E83"/>
    <w:rsid w:val="00D2689D"/>
    <w:rsid w:val="00D31DD0"/>
    <w:rsid w:val="00D347BF"/>
    <w:rsid w:val="00D34913"/>
    <w:rsid w:val="00D34C1F"/>
    <w:rsid w:val="00D35A75"/>
    <w:rsid w:val="00D5400E"/>
    <w:rsid w:val="00D546A0"/>
    <w:rsid w:val="00D6213F"/>
    <w:rsid w:val="00D6371E"/>
    <w:rsid w:val="00D63AA5"/>
    <w:rsid w:val="00D6466F"/>
    <w:rsid w:val="00D6492D"/>
    <w:rsid w:val="00D662DE"/>
    <w:rsid w:val="00D66346"/>
    <w:rsid w:val="00D66DAB"/>
    <w:rsid w:val="00D715E6"/>
    <w:rsid w:val="00D71C0C"/>
    <w:rsid w:val="00D750DE"/>
    <w:rsid w:val="00D80DDE"/>
    <w:rsid w:val="00D83126"/>
    <w:rsid w:val="00D85E3D"/>
    <w:rsid w:val="00D862B3"/>
    <w:rsid w:val="00DA0162"/>
    <w:rsid w:val="00DA40AC"/>
    <w:rsid w:val="00DA40C6"/>
    <w:rsid w:val="00DA4B40"/>
    <w:rsid w:val="00DA570F"/>
    <w:rsid w:val="00DA5B6C"/>
    <w:rsid w:val="00DA5D02"/>
    <w:rsid w:val="00DA7079"/>
    <w:rsid w:val="00DA794F"/>
    <w:rsid w:val="00DB107B"/>
    <w:rsid w:val="00DB35DA"/>
    <w:rsid w:val="00DB3B59"/>
    <w:rsid w:val="00DB5CB7"/>
    <w:rsid w:val="00DB69A2"/>
    <w:rsid w:val="00DC0E05"/>
    <w:rsid w:val="00DC1561"/>
    <w:rsid w:val="00DC6E71"/>
    <w:rsid w:val="00DD63AB"/>
    <w:rsid w:val="00DE0531"/>
    <w:rsid w:val="00DE4776"/>
    <w:rsid w:val="00DE4D13"/>
    <w:rsid w:val="00DF112B"/>
    <w:rsid w:val="00DF13FB"/>
    <w:rsid w:val="00DF19C1"/>
    <w:rsid w:val="00DF2051"/>
    <w:rsid w:val="00DF7730"/>
    <w:rsid w:val="00E0399B"/>
    <w:rsid w:val="00E0501A"/>
    <w:rsid w:val="00E06F02"/>
    <w:rsid w:val="00E122D7"/>
    <w:rsid w:val="00E1250E"/>
    <w:rsid w:val="00E13853"/>
    <w:rsid w:val="00E2253A"/>
    <w:rsid w:val="00E35490"/>
    <w:rsid w:val="00E406AE"/>
    <w:rsid w:val="00E40A60"/>
    <w:rsid w:val="00E438E6"/>
    <w:rsid w:val="00E56086"/>
    <w:rsid w:val="00E560AD"/>
    <w:rsid w:val="00E626CB"/>
    <w:rsid w:val="00E654E0"/>
    <w:rsid w:val="00E65748"/>
    <w:rsid w:val="00E66B5E"/>
    <w:rsid w:val="00E70885"/>
    <w:rsid w:val="00E70AC0"/>
    <w:rsid w:val="00E71504"/>
    <w:rsid w:val="00E71E22"/>
    <w:rsid w:val="00E75F40"/>
    <w:rsid w:val="00E76C30"/>
    <w:rsid w:val="00E76DFD"/>
    <w:rsid w:val="00E80FCF"/>
    <w:rsid w:val="00E817FC"/>
    <w:rsid w:val="00E83C6A"/>
    <w:rsid w:val="00E95BB6"/>
    <w:rsid w:val="00E9671A"/>
    <w:rsid w:val="00EA06AB"/>
    <w:rsid w:val="00EA0DCF"/>
    <w:rsid w:val="00EA2007"/>
    <w:rsid w:val="00EA31F2"/>
    <w:rsid w:val="00EA3E36"/>
    <w:rsid w:val="00EB293B"/>
    <w:rsid w:val="00EB2C68"/>
    <w:rsid w:val="00EB3A8D"/>
    <w:rsid w:val="00EB77E1"/>
    <w:rsid w:val="00EC3A1E"/>
    <w:rsid w:val="00EC64CC"/>
    <w:rsid w:val="00ED08CA"/>
    <w:rsid w:val="00ED20F0"/>
    <w:rsid w:val="00ED3167"/>
    <w:rsid w:val="00ED3E6F"/>
    <w:rsid w:val="00EE0958"/>
    <w:rsid w:val="00EE4B7E"/>
    <w:rsid w:val="00EE53F0"/>
    <w:rsid w:val="00EE676D"/>
    <w:rsid w:val="00EF0B2A"/>
    <w:rsid w:val="00EF0F3B"/>
    <w:rsid w:val="00EF7530"/>
    <w:rsid w:val="00F006E8"/>
    <w:rsid w:val="00F0398B"/>
    <w:rsid w:val="00F04F6A"/>
    <w:rsid w:val="00F05663"/>
    <w:rsid w:val="00F129AB"/>
    <w:rsid w:val="00F154B8"/>
    <w:rsid w:val="00F17683"/>
    <w:rsid w:val="00F20E98"/>
    <w:rsid w:val="00F20F59"/>
    <w:rsid w:val="00F23B9B"/>
    <w:rsid w:val="00F24644"/>
    <w:rsid w:val="00F36374"/>
    <w:rsid w:val="00F36A9A"/>
    <w:rsid w:val="00F42672"/>
    <w:rsid w:val="00F5165C"/>
    <w:rsid w:val="00F520AA"/>
    <w:rsid w:val="00F52EE0"/>
    <w:rsid w:val="00F564B5"/>
    <w:rsid w:val="00F56781"/>
    <w:rsid w:val="00F620A4"/>
    <w:rsid w:val="00F62C27"/>
    <w:rsid w:val="00F65183"/>
    <w:rsid w:val="00F7091C"/>
    <w:rsid w:val="00F73F62"/>
    <w:rsid w:val="00F761B6"/>
    <w:rsid w:val="00F821EA"/>
    <w:rsid w:val="00F82EA9"/>
    <w:rsid w:val="00F83976"/>
    <w:rsid w:val="00F83D50"/>
    <w:rsid w:val="00F84F38"/>
    <w:rsid w:val="00F87EA3"/>
    <w:rsid w:val="00F905F2"/>
    <w:rsid w:val="00F90FE0"/>
    <w:rsid w:val="00F93DFB"/>
    <w:rsid w:val="00F944A4"/>
    <w:rsid w:val="00F95542"/>
    <w:rsid w:val="00F957BE"/>
    <w:rsid w:val="00F965F9"/>
    <w:rsid w:val="00F97357"/>
    <w:rsid w:val="00F979F2"/>
    <w:rsid w:val="00FA0390"/>
    <w:rsid w:val="00FA3D23"/>
    <w:rsid w:val="00FA5777"/>
    <w:rsid w:val="00FB037E"/>
    <w:rsid w:val="00FB077B"/>
    <w:rsid w:val="00FB40FC"/>
    <w:rsid w:val="00FB6C11"/>
    <w:rsid w:val="00FC21BF"/>
    <w:rsid w:val="00FC6784"/>
    <w:rsid w:val="00FC7F1A"/>
    <w:rsid w:val="00FD767C"/>
    <w:rsid w:val="00FE625F"/>
    <w:rsid w:val="00FE698F"/>
    <w:rsid w:val="00FF051A"/>
    <w:rsid w:val="00FF38ED"/>
    <w:rsid w:val="00FF59D5"/>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9277C7"/>
  <w15:docId w15:val="{E1014E08-58F8-4DEF-8141-0837B66C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A8D"/>
    <w:pPr>
      <w:spacing w:before="120"/>
      <w:contextualSpacing/>
      <w:jc w:val="both"/>
    </w:pPr>
    <w:rPr>
      <w:rFonts w:ascii="Arial" w:hAnsi="Arial"/>
      <w:sz w:val="22"/>
    </w:rPr>
  </w:style>
  <w:style w:type="paragraph" w:styleId="Heading1">
    <w:name w:val="heading 1"/>
    <w:next w:val="Normal"/>
    <w:qFormat/>
    <w:rsid w:val="00DB3B59"/>
    <w:pPr>
      <w:keepNext/>
      <w:numPr>
        <w:numId w:val="11"/>
      </w:numPr>
      <w:tabs>
        <w:tab w:val="left" w:pos="0"/>
      </w:tabs>
      <w:spacing w:before="480"/>
      <w:outlineLvl w:val="0"/>
    </w:pPr>
    <w:rPr>
      <w:rFonts w:ascii="Arial" w:hAnsi="Arial"/>
      <w:b/>
      <w:sz w:val="28"/>
      <w:szCs w:val="28"/>
    </w:rPr>
  </w:style>
  <w:style w:type="paragraph" w:styleId="Heading2">
    <w:name w:val="heading 2"/>
    <w:next w:val="Normal"/>
    <w:qFormat/>
    <w:rsid w:val="00987602"/>
    <w:pPr>
      <w:keepNext/>
      <w:numPr>
        <w:ilvl w:val="1"/>
        <w:numId w:val="11"/>
      </w:numPr>
      <w:tabs>
        <w:tab w:val="left" w:pos="0"/>
      </w:tabs>
      <w:spacing w:before="360"/>
      <w:outlineLvl w:val="1"/>
    </w:pPr>
    <w:rPr>
      <w:rFonts w:ascii="Arial" w:hAnsi="Arial"/>
      <w:b/>
      <w:sz w:val="24"/>
    </w:rPr>
  </w:style>
  <w:style w:type="paragraph" w:styleId="Heading3">
    <w:name w:val="heading 3"/>
    <w:next w:val="Normal"/>
    <w:link w:val="Heading3Char"/>
    <w:qFormat/>
    <w:rsid w:val="006F29D1"/>
    <w:pPr>
      <w:keepNext/>
      <w:numPr>
        <w:ilvl w:val="2"/>
        <w:numId w:val="11"/>
      </w:numPr>
      <w:tabs>
        <w:tab w:val="left" w:pos="992"/>
      </w:tabs>
      <w:spacing w:before="360"/>
      <w:outlineLvl w:val="2"/>
    </w:pPr>
    <w:rPr>
      <w:rFonts w:ascii="Arial" w:hAnsi="Arial"/>
      <w:sz w:val="22"/>
    </w:rPr>
  </w:style>
  <w:style w:type="paragraph" w:styleId="Heading4">
    <w:name w:val="heading 4"/>
    <w:next w:val="Normal"/>
    <w:qFormat/>
    <w:rsid w:val="00180ECC"/>
    <w:pPr>
      <w:keepNext/>
      <w:numPr>
        <w:ilvl w:val="3"/>
        <w:numId w:val="11"/>
      </w:numPr>
      <w:spacing w:before="360"/>
      <w:outlineLvl w:val="3"/>
    </w:pPr>
    <w:rPr>
      <w:rFonts w:ascii="Arial" w:hAnsi="Arial"/>
      <w:b/>
      <w:i/>
      <w:snapToGrid w:val="0"/>
      <w:color w:val="000000"/>
      <w:sz w:val="22"/>
    </w:rPr>
  </w:style>
  <w:style w:type="paragraph" w:styleId="Heading5">
    <w:name w:val="heading 5"/>
    <w:basedOn w:val="Normal"/>
    <w:next w:val="Normal"/>
    <w:qFormat/>
    <w:rsid w:val="009951EC"/>
    <w:pPr>
      <w:keepLines/>
      <w:numPr>
        <w:ilvl w:val="4"/>
        <w:numId w:val="11"/>
      </w:numPr>
      <w:spacing w:before="240" w:after="120"/>
      <w:outlineLvl w:val="4"/>
    </w:pPr>
    <w:rPr>
      <w:b/>
      <w:szCs w:val="22"/>
    </w:rPr>
  </w:style>
  <w:style w:type="paragraph" w:styleId="Heading6">
    <w:name w:val="heading 6"/>
    <w:basedOn w:val="Normal"/>
    <w:next w:val="Normal"/>
    <w:qFormat/>
    <w:rsid w:val="00C12FBF"/>
    <w:pPr>
      <w:keepNext/>
      <w:keepLines/>
      <w:numPr>
        <w:ilvl w:val="5"/>
        <w:numId w:val="11"/>
      </w:numPr>
      <w:spacing w:before="240" w:after="120" w:line="280" w:lineRule="exact"/>
      <w:outlineLvl w:val="5"/>
    </w:pPr>
    <w:rPr>
      <w:b/>
      <w:kern w:val="28"/>
    </w:rPr>
  </w:style>
  <w:style w:type="paragraph" w:styleId="Heading7">
    <w:name w:val="heading 7"/>
    <w:basedOn w:val="Normal"/>
    <w:next w:val="Normal"/>
    <w:qFormat/>
    <w:rsid w:val="00C12FBF"/>
    <w:pPr>
      <w:keepNext/>
      <w:keepLines/>
      <w:numPr>
        <w:ilvl w:val="6"/>
        <w:numId w:val="11"/>
      </w:numPr>
      <w:spacing w:before="240" w:after="120" w:line="280" w:lineRule="exact"/>
      <w:outlineLvl w:val="6"/>
    </w:pPr>
    <w:rPr>
      <w:kern w:val="28"/>
    </w:rPr>
  </w:style>
  <w:style w:type="paragraph" w:styleId="Heading8">
    <w:name w:val="heading 8"/>
    <w:basedOn w:val="Normal"/>
    <w:next w:val="Normal"/>
    <w:qFormat/>
    <w:rsid w:val="00C12FBF"/>
    <w:pPr>
      <w:keepNext/>
      <w:keepLines/>
      <w:numPr>
        <w:ilvl w:val="7"/>
        <w:numId w:val="11"/>
      </w:numPr>
      <w:spacing w:before="240" w:after="120" w:line="280" w:lineRule="exact"/>
      <w:outlineLvl w:val="7"/>
    </w:pPr>
    <w:rPr>
      <w:i/>
      <w:kern w:val="28"/>
    </w:rPr>
  </w:style>
  <w:style w:type="paragraph" w:styleId="Heading9">
    <w:name w:val="heading 9"/>
    <w:basedOn w:val="Normal"/>
    <w:next w:val="Normal"/>
    <w:qFormat/>
    <w:rsid w:val="00C12FBF"/>
    <w:pPr>
      <w:keepNext/>
      <w:keepLines/>
      <w:numPr>
        <w:ilvl w:val="8"/>
        <w:numId w:val="11"/>
      </w:numPr>
      <w:spacing w:before="240" w:after="120" w:line="280" w:lineRule="exact"/>
      <w:outlineLvl w:val="8"/>
    </w:pPr>
    <w:rPr>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1">
    <w:name w:val="Bullet 1"/>
    <w:rsid w:val="00230656"/>
    <w:pPr>
      <w:numPr>
        <w:numId w:val="1"/>
      </w:numPr>
    </w:pPr>
  </w:style>
  <w:style w:type="paragraph" w:customStyle="1" w:styleId="Normalindent25">
    <w:name w:val="Normal (indent 2.5)"/>
    <w:basedOn w:val="Normalindent15"/>
    <w:rsid w:val="0070016B"/>
    <w:pPr>
      <w:ind w:left="1418"/>
    </w:pPr>
  </w:style>
  <w:style w:type="numbering" w:customStyle="1" w:styleId="Bullet2">
    <w:name w:val="Bullet 2"/>
    <w:basedOn w:val="NoList"/>
    <w:rsid w:val="00C21866"/>
    <w:pPr>
      <w:numPr>
        <w:numId w:val="2"/>
      </w:numPr>
    </w:pPr>
  </w:style>
  <w:style w:type="paragraph" w:styleId="Header">
    <w:name w:val="header"/>
    <w:basedOn w:val="Normal"/>
    <w:semiHidden/>
    <w:pPr>
      <w:tabs>
        <w:tab w:val="center" w:pos="4320"/>
        <w:tab w:val="right" w:pos="8640"/>
      </w:tabs>
    </w:pPr>
  </w:style>
  <w:style w:type="paragraph" w:customStyle="1" w:styleId="aNumbered">
    <w:name w:val="(a) Numbered"/>
    <w:basedOn w:val="Normal"/>
    <w:rsid w:val="00C80BC7"/>
    <w:pPr>
      <w:tabs>
        <w:tab w:val="num" w:pos="425"/>
        <w:tab w:val="left" w:pos="851"/>
      </w:tabs>
      <w:ind w:left="851" w:hanging="426"/>
    </w:pPr>
  </w:style>
  <w:style w:type="paragraph" w:customStyle="1" w:styleId="Title1">
    <w:name w:val="Title 1"/>
    <w:next w:val="Normal"/>
    <w:rsid w:val="00F20F59"/>
    <w:pPr>
      <w:jc w:val="center"/>
    </w:pPr>
    <w:rPr>
      <w:rFonts w:ascii="Arial" w:hAnsi="Arial"/>
      <w:b/>
      <w:bCs/>
      <w:sz w:val="52"/>
    </w:rPr>
  </w:style>
  <w:style w:type="paragraph" w:styleId="TOC1">
    <w:name w:val="toc 1"/>
    <w:next w:val="Normal"/>
    <w:autoRedefine/>
    <w:uiPriority w:val="39"/>
    <w:rsid w:val="00534B73"/>
    <w:pPr>
      <w:tabs>
        <w:tab w:val="left" w:pos="567"/>
        <w:tab w:val="right" w:leader="dot" w:pos="8662"/>
      </w:tabs>
      <w:spacing w:before="120"/>
      <w:ind w:left="567" w:hanging="567"/>
    </w:pPr>
    <w:rPr>
      <w:rFonts w:ascii="Arial" w:hAnsi="Arial"/>
      <w:b/>
      <w:bCs/>
      <w:iCs/>
      <w:sz w:val="24"/>
      <w:szCs w:val="24"/>
    </w:rPr>
  </w:style>
  <w:style w:type="paragraph" w:styleId="TOC2">
    <w:name w:val="toc 2"/>
    <w:next w:val="Normal"/>
    <w:autoRedefine/>
    <w:uiPriority w:val="39"/>
    <w:rsid w:val="00534B73"/>
    <w:pPr>
      <w:tabs>
        <w:tab w:val="left" w:pos="1134"/>
        <w:tab w:val="right" w:leader="dot" w:pos="8662"/>
      </w:tabs>
      <w:spacing w:before="120"/>
      <w:ind w:left="1134" w:hanging="567"/>
    </w:pPr>
    <w:rPr>
      <w:rFonts w:ascii="Arial" w:hAnsi="Arial"/>
      <w:bCs/>
      <w:snapToGrid w:val="0"/>
      <w:sz w:val="22"/>
      <w:szCs w:val="22"/>
    </w:rPr>
  </w:style>
  <w:style w:type="paragraph" w:customStyle="1" w:styleId="Normalindent1">
    <w:name w:val="Normal (indent 1)"/>
    <w:basedOn w:val="Normal"/>
    <w:link w:val="Normalindent1Char"/>
    <w:rsid w:val="007A0116"/>
    <w:pPr>
      <w:ind w:left="567"/>
    </w:pPr>
  </w:style>
  <w:style w:type="numbering" w:customStyle="1" w:styleId="Bulletindent1">
    <w:name w:val="Bullet (indent 1)"/>
    <w:rsid w:val="0070016B"/>
    <w:pPr>
      <w:numPr>
        <w:numId w:val="3"/>
      </w:numPr>
    </w:pPr>
  </w:style>
  <w:style w:type="paragraph" w:customStyle="1" w:styleId="Normalindent15">
    <w:name w:val="Normal (indent 1.5)"/>
    <w:basedOn w:val="Normalindent1"/>
    <w:link w:val="Normalindent15Char"/>
    <w:rsid w:val="00D058C0"/>
    <w:pPr>
      <w:ind w:left="992"/>
    </w:pPr>
  </w:style>
  <w:style w:type="character" w:customStyle="1" w:styleId="Normalindent1Char">
    <w:name w:val="Normal (indent 1) Char"/>
    <w:link w:val="Normalindent1"/>
    <w:rsid w:val="0055205E"/>
    <w:rPr>
      <w:rFonts w:ascii="Arial" w:hAnsi="Arial"/>
      <w:sz w:val="22"/>
      <w:lang w:val="fr-FR" w:eastAsia="en-US" w:bidi="ar-SA"/>
    </w:rPr>
  </w:style>
  <w:style w:type="paragraph" w:styleId="Footer">
    <w:name w:val="footer"/>
    <w:basedOn w:val="Normal"/>
    <w:semiHidden/>
    <w:pPr>
      <w:tabs>
        <w:tab w:val="center" w:pos="4320"/>
        <w:tab w:val="right" w:pos="8640"/>
      </w:tabs>
    </w:pPr>
    <w:rPr>
      <w:rFonts w:ascii="Times New Roman" w:hAnsi="Times New Roman"/>
      <w:sz w:val="20"/>
    </w:rPr>
  </w:style>
  <w:style w:type="character" w:customStyle="1" w:styleId="Normalindent15Char">
    <w:name w:val="Normal (indent 1.5) Char"/>
    <w:basedOn w:val="Normalindent1Char"/>
    <w:link w:val="Normalindent15"/>
    <w:rsid w:val="00D058C0"/>
    <w:rPr>
      <w:rFonts w:ascii="Arial" w:hAnsi="Arial"/>
      <w:sz w:val="22"/>
      <w:lang w:val="fr-FR" w:eastAsia="en-US" w:bidi="ar-SA"/>
    </w:rPr>
  </w:style>
  <w:style w:type="paragraph" w:styleId="TOC3">
    <w:name w:val="toc 3"/>
    <w:next w:val="Normal"/>
    <w:autoRedefine/>
    <w:uiPriority w:val="39"/>
    <w:rsid w:val="00180ECC"/>
    <w:pPr>
      <w:ind w:left="480"/>
    </w:pPr>
    <w:rPr>
      <w:rFonts w:ascii="Arial" w:hAnsi="Arial"/>
      <w:sz w:val="22"/>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character" w:styleId="FollowedHyperlink">
    <w:name w:val="FollowedHyperlink"/>
    <w:semiHidden/>
    <w:rPr>
      <w:color w:val="800080"/>
      <w:u w:val="single"/>
    </w:rPr>
  </w:style>
  <w:style w:type="paragraph" w:styleId="FootnoteText">
    <w:name w:val="footnote text"/>
    <w:aliases w:val="single space,footnote text,Footnote Text Char1 Char,Footnote Text Char Char Char,ft,fn,FOOTNOTES, Char Char Char, Char Char,ADB,WB-Fußnotentext,Footnote,Fußnote,Char Char Char,Char Char,ALTS FOOTNOTE,Footnote Text 1,Footnote Text Char1,f"/>
    <w:basedOn w:val="Normal"/>
    <w:link w:val="FootnoteTextChar"/>
    <w:uiPriority w:val="99"/>
    <w:rPr>
      <w:sz w:val="20"/>
    </w:rPr>
  </w:style>
  <w:style w:type="character" w:styleId="FootnoteReference">
    <w:name w:val="footnote reference"/>
    <w:aliases w:val="ftref,Error-Fußnotenzeichen5,Error-Fußnotenzeichen6,Error-Fußnotenzeichen3,Footnote Reference1, BVI fnr,Footnote Reference Number,Footnote Reference_LVL6,Footnote Reference_LVL61,Footnote Reference_LVL62,Footnote Reference_LVL63,fr"/>
    <w:uiPriority w:val="99"/>
    <w:rPr>
      <w:vertAlign w:val="superscript"/>
    </w:rPr>
  </w:style>
  <w:style w:type="character" w:customStyle="1" w:styleId="Heading3Char">
    <w:name w:val="Heading 3 Char"/>
    <w:link w:val="Heading3"/>
    <w:rsid w:val="006F29D1"/>
    <w:rPr>
      <w:rFonts w:ascii="Arial" w:hAnsi="Arial"/>
      <w:sz w:val="22"/>
      <w:lang w:val="fr-FR"/>
    </w:rPr>
  </w:style>
  <w:style w:type="character" w:customStyle="1" w:styleId="TOCHeading1">
    <w:name w:val="TOC Heading1"/>
    <w:rsid w:val="00064DE6"/>
    <w:rPr>
      <w:b/>
      <w:sz w:val="28"/>
    </w:rPr>
  </w:style>
  <w:style w:type="paragraph" w:customStyle="1" w:styleId="Heading3Bold">
    <w:name w:val="Heading 3 + Bold"/>
    <w:basedOn w:val="Heading3"/>
    <w:link w:val="Heading3BoldChar"/>
    <w:rsid w:val="00234C80"/>
    <w:pPr>
      <w:tabs>
        <w:tab w:val="num" w:pos="720"/>
      </w:tabs>
    </w:pPr>
    <w:rPr>
      <w:b/>
      <w:bCs/>
    </w:rPr>
  </w:style>
  <w:style w:type="character" w:customStyle="1" w:styleId="Heading3BoldChar">
    <w:name w:val="Heading 3 + Bold Char"/>
    <w:link w:val="Heading3Bold"/>
    <w:rsid w:val="00234C80"/>
    <w:rPr>
      <w:rFonts w:ascii="Arial" w:hAnsi="Arial"/>
      <w:b/>
      <w:bCs/>
      <w:sz w:val="22"/>
      <w:lang w:val="fr-FR"/>
    </w:rPr>
  </w:style>
  <w:style w:type="paragraph" w:customStyle="1" w:styleId="Title2">
    <w:name w:val="Title 2"/>
    <w:rsid w:val="00F20F59"/>
    <w:pPr>
      <w:jc w:val="center"/>
    </w:pPr>
    <w:rPr>
      <w:rFonts w:ascii="Arial" w:hAnsi="Arial"/>
      <w:b/>
      <w:bCs/>
      <w:i/>
      <w:color w:val="0000FF"/>
      <w:sz w:val="48"/>
    </w:rPr>
  </w:style>
  <w:style w:type="paragraph" w:customStyle="1" w:styleId="Title3">
    <w:name w:val="Title 3"/>
    <w:rsid w:val="00F20F59"/>
    <w:pPr>
      <w:jc w:val="center"/>
    </w:pPr>
    <w:rPr>
      <w:rFonts w:ascii="Arial" w:hAnsi="Arial"/>
      <w:sz w:val="24"/>
    </w:rPr>
  </w:style>
  <w:style w:type="paragraph" w:customStyle="1" w:styleId="Title4">
    <w:name w:val="Title 4"/>
    <w:rsid w:val="00F20F59"/>
    <w:pPr>
      <w:jc w:val="right"/>
    </w:pPr>
    <w:rPr>
      <w:rFonts w:ascii="Arial" w:hAnsi="Arial"/>
      <w:sz w:val="22"/>
    </w:rPr>
  </w:style>
  <w:style w:type="paragraph" w:customStyle="1" w:styleId="Numbered">
    <w:name w:val="Numbered"/>
    <w:basedOn w:val="Normal"/>
    <w:link w:val="NumberedChar"/>
    <w:rsid w:val="00C80BC7"/>
    <w:pPr>
      <w:numPr>
        <w:numId w:val="6"/>
      </w:numPr>
      <w:spacing w:before="240"/>
      <w:contextualSpacing w:val="0"/>
    </w:pPr>
  </w:style>
  <w:style w:type="character" w:customStyle="1" w:styleId="NumberedChar">
    <w:name w:val="Numbered Char"/>
    <w:link w:val="Numbered"/>
    <w:rsid w:val="003A1108"/>
    <w:rPr>
      <w:rFonts w:ascii="Arial" w:hAnsi="Arial"/>
      <w:sz w:val="22"/>
      <w:lang w:val="fr-FR"/>
    </w:rPr>
  </w:style>
  <w:style w:type="paragraph" w:styleId="Caption">
    <w:name w:val="caption"/>
    <w:basedOn w:val="Normal"/>
    <w:next w:val="Normal"/>
    <w:qFormat/>
    <w:rsid w:val="004D7D9A"/>
    <w:pPr>
      <w:spacing w:after="120"/>
    </w:pPr>
    <w:rPr>
      <w:b/>
      <w:bCs/>
      <w:sz w:val="20"/>
    </w:rPr>
  </w:style>
  <w:style w:type="paragraph" w:styleId="TableofFigures">
    <w:name w:val="table of figures"/>
    <w:basedOn w:val="Normal"/>
    <w:next w:val="Normal"/>
    <w:uiPriority w:val="99"/>
    <w:rsid w:val="00251694"/>
    <w:pPr>
      <w:ind w:left="440" w:hanging="440"/>
    </w:pPr>
  </w:style>
  <w:style w:type="paragraph" w:styleId="BalloonText">
    <w:name w:val="Balloon Text"/>
    <w:basedOn w:val="Normal"/>
    <w:semiHidden/>
    <w:rsid w:val="00844EEF"/>
    <w:rPr>
      <w:rFonts w:ascii="Tahoma" w:hAnsi="Tahoma" w:cs="Tahoma"/>
      <w:sz w:val="16"/>
      <w:szCs w:val="16"/>
    </w:rPr>
  </w:style>
  <w:style w:type="character" w:styleId="CommentReference">
    <w:name w:val="annotation reference"/>
    <w:semiHidden/>
    <w:rsid w:val="00844EEF"/>
    <w:rPr>
      <w:sz w:val="16"/>
      <w:szCs w:val="16"/>
    </w:rPr>
  </w:style>
  <w:style w:type="paragraph" w:styleId="CommentText">
    <w:name w:val="annotation text"/>
    <w:basedOn w:val="Normal"/>
    <w:link w:val="CommentTextChar"/>
    <w:semiHidden/>
    <w:rsid w:val="00844EEF"/>
    <w:rPr>
      <w:sz w:val="20"/>
    </w:rPr>
  </w:style>
  <w:style w:type="paragraph" w:styleId="CommentSubject">
    <w:name w:val="annotation subject"/>
    <w:basedOn w:val="CommentText"/>
    <w:next w:val="CommentText"/>
    <w:semiHidden/>
    <w:rsid w:val="00844EEF"/>
    <w:rPr>
      <w:b/>
      <w:bCs/>
    </w:rPr>
  </w:style>
  <w:style w:type="paragraph" w:customStyle="1" w:styleId="Normalnuma">
    <w:name w:val="Normal num a"/>
    <w:basedOn w:val="aNumbered"/>
    <w:qFormat/>
    <w:rsid w:val="00FF38ED"/>
    <w:pPr>
      <w:numPr>
        <w:numId w:val="4"/>
      </w:numPr>
      <w:spacing w:after="120"/>
    </w:pPr>
  </w:style>
  <w:style w:type="paragraph" w:customStyle="1" w:styleId="Normalnum1">
    <w:name w:val="Normal num 1"/>
    <w:basedOn w:val="Numbered"/>
    <w:qFormat/>
    <w:rsid w:val="00FF38ED"/>
    <w:pPr>
      <w:spacing w:after="120"/>
    </w:pPr>
  </w:style>
  <w:style w:type="paragraph" w:styleId="DocumentMap">
    <w:name w:val="Document Map"/>
    <w:basedOn w:val="Normal"/>
    <w:link w:val="DocumentMapChar"/>
    <w:semiHidden/>
    <w:unhideWhenUsed/>
    <w:rsid w:val="00611B07"/>
    <w:rPr>
      <w:rFonts w:ascii="Lucida Grande" w:hAnsi="Lucida Grande" w:cs="Lucida Grande"/>
      <w:sz w:val="24"/>
      <w:szCs w:val="24"/>
    </w:rPr>
  </w:style>
  <w:style w:type="character" w:customStyle="1" w:styleId="DocumentMapChar">
    <w:name w:val="Document Map Char"/>
    <w:basedOn w:val="DefaultParagraphFont"/>
    <w:link w:val="DocumentMap"/>
    <w:semiHidden/>
    <w:rsid w:val="00611B07"/>
    <w:rPr>
      <w:rFonts w:ascii="Lucida Grande" w:hAnsi="Lucida Grande" w:cs="Lucida Grande"/>
      <w:sz w:val="24"/>
      <w:szCs w:val="24"/>
      <w:lang w:val="fr-FR"/>
    </w:rPr>
  </w:style>
  <w:style w:type="paragraph" w:customStyle="1" w:styleId="StyleHeading2NotItalic">
    <w:name w:val="Style Heading 2 + Not Italic"/>
    <w:basedOn w:val="Heading2"/>
    <w:rsid w:val="005D08CC"/>
    <w:pPr>
      <w:numPr>
        <w:numId w:val="5"/>
      </w:numPr>
      <w:tabs>
        <w:tab w:val="num" w:pos="576"/>
      </w:tabs>
      <w:ind w:left="576" w:hanging="567"/>
      <w:jc w:val="both"/>
    </w:pPr>
    <w:rPr>
      <w:rFonts w:eastAsiaTheme="minorEastAsia" w:cstheme="minorBidi"/>
      <w:bCs/>
      <w:szCs w:val="22"/>
    </w:rPr>
  </w:style>
  <w:style w:type="paragraph" w:styleId="Title">
    <w:name w:val="Title"/>
    <w:basedOn w:val="Normal"/>
    <w:next w:val="Normal"/>
    <w:link w:val="TitleChar"/>
    <w:uiPriority w:val="10"/>
    <w:qFormat/>
    <w:rsid w:val="002C1606"/>
    <w:pPr>
      <w:spacing w:before="0" w:after="200"/>
      <w:contextualSpacing w:val="0"/>
      <w:jc w:val="center"/>
    </w:pPr>
    <w:rPr>
      <w:rFonts w:asciiTheme="minorHAnsi" w:eastAsiaTheme="minorEastAsia" w:hAnsiTheme="minorHAnsi" w:cstheme="minorBidi"/>
      <w:b/>
      <w:smallCaps/>
      <w:sz w:val="48"/>
      <w:szCs w:val="48"/>
      <w:lang w:bidi="en-US"/>
    </w:rPr>
  </w:style>
  <w:style w:type="character" w:customStyle="1" w:styleId="TitleChar">
    <w:name w:val="Title Char"/>
    <w:basedOn w:val="DefaultParagraphFont"/>
    <w:link w:val="Title"/>
    <w:uiPriority w:val="10"/>
    <w:rsid w:val="002C1606"/>
    <w:rPr>
      <w:rFonts w:asciiTheme="minorHAnsi" w:eastAsiaTheme="minorEastAsia" w:hAnsiTheme="minorHAnsi" w:cstheme="minorBidi"/>
      <w:b/>
      <w:smallCaps/>
      <w:sz w:val="48"/>
      <w:szCs w:val="48"/>
      <w:lang w:val="fr-FR" w:bidi="en-US"/>
    </w:rPr>
  </w:style>
  <w:style w:type="paragraph" w:styleId="EnvelopeReturn">
    <w:name w:val="envelope return"/>
    <w:basedOn w:val="Normal"/>
    <w:rsid w:val="002D41F0"/>
    <w:pPr>
      <w:spacing w:before="0" w:after="80"/>
      <w:contextualSpacing w:val="0"/>
      <w:jc w:val="left"/>
    </w:pPr>
    <w:rPr>
      <w:sz w:val="24"/>
    </w:rPr>
  </w:style>
  <w:style w:type="paragraph" w:styleId="ListParagraph">
    <w:name w:val="List Paragraph"/>
    <w:aliases w:val="List Paragraph (numbered (a)),Use Case List Paragraph,Heading 2_sj,Numbered Para 1,Dot pt,No Spacing1,List Paragraph Char Char Char,Indicator Text,List Paragraph1,Bullet Points,MAIN CONTENT,List Paragraph12,F5 List Paragraph,b1,P"/>
    <w:basedOn w:val="Normal"/>
    <w:link w:val="ListParagraphChar"/>
    <w:uiPriority w:val="34"/>
    <w:qFormat/>
    <w:rsid w:val="0085685E"/>
    <w:pPr>
      <w:spacing w:before="0"/>
      <w:ind w:left="720"/>
      <w:jc w:val="left"/>
    </w:pPr>
    <w:rPr>
      <w:rFonts w:ascii="Times New Roman" w:eastAsia="SimSun" w:hAnsi="Times New Roman"/>
      <w:sz w:val="24"/>
      <w:szCs w:val="24"/>
    </w:rPr>
  </w:style>
  <w:style w:type="character" w:customStyle="1" w:styleId="ListParagraphChar">
    <w:name w:val="List Paragraph Char"/>
    <w:aliases w:val="List Paragraph (numbered (a)) Char,Use Case List Paragraph Char,Heading 2_sj Char,Numbered Para 1 Char,Dot pt Char,No Spacing1 Char,List Paragraph Char Char Char Char,Indicator Text Char,List Paragraph1 Char,Bullet Points Char,P Char"/>
    <w:basedOn w:val="DefaultParagraphFont"/>
    <w:link w:val="ListParagraph"/>
    <w:uiPriority w:val="34"/>
    <w:qFormat/>
    <w:rsid w:val="0085685E"/>
    <w:rPr>
      <w:rFonts w:eastAsia="SimSun"/>
      <w:sz w:val="24"/>
      <w:szCs w:val="24"/>
      <w:lang w:val="fr-FR"/>
    </w:rPr>
  </w:style>
  <w:style w:type="character" w:customStyle="1" w:styleId="FootnoteTextChar">
    <w:name w:val="Footnote Text Char"/>
    <w:aliases w:val="single space Char,footnote text Char,Footnote Text Char1 Char Char,Footnote Text Char Char Char Char,ft Char,fn Char,FOOTNOTES Char, Char Char Char Char, Char Char Char1,ADB Char,WB-Fußnotentext Char,Footnote Char,Fußnote Char,f Char"/>
    <w:basedOn w:val="DefaultParagraphFont"/>
    <w:link w:val="FootnoteText"/>
    <w:uiPriority w:val="99"/>
    <w:rsid w:val="0085685E"/>
    <w:rPr>
      <w:rFonts w:ascii="Arial" w:hAnsi="Arial"/>
      <w:lang w:val="fr-FR"/>
    </w:rPr>
  </w:style>
  <w:style w:type="table" w:customStyle="1" w:styleId="TableGrid">
    <w:name w:val="TableGrid"/>
    <w:rsid w:val="00AD2397"/>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table" w:customStyle="1" w:styleId="Style1">
    <w:name w:val="Style1"/>
    <w:basedOn w:val="TableNormal"/>
    <w:uiPriority w:val="99"/>
    <w:rsid w:val="00C25D48"/>
    <w:rPr>
      <w:rFonts w:asciiTheme="minorHAnsi" w:eastAsiaTheme="minorHAnsi" w:hAnsiTheme="minorHAnsi" w:cstheme="minorBidi"/>
      <w:sz w:val="22"/>
      <w:szCs w:val="22"/>
    </w:rPr>
    <w:tblPr>
      <w:tblStyleRowBandSize w:val="1"/>
    </w:tblPr>
  </w:style>
  <w:style w:type="character" w:styleId="PlaceholderText">
    <w:name w:val="Placeholder Text"/>
    <w:basedOn w:val="DefaultParagraphFont"/>
    <w:uiPriority w:val="99"/>
    <w:semiHidden/>
    <w:rsid w:val="00DA40C6"/>
    <w:rPr>
      <w:color w:val="808080"/>
    </w:rPr>
  </w:style>
  <w:style w:type="paragraph" w:customStyle="1" w:styleId="AppendixHeadingLevel1">
    <w:name w:val="Appendix Heading Level 1"/>
    <w:next w:val="Normal"/>
    <w:link w:val="AppendixHeadingLevel1Char"/>
    <w:uiPriority w:val="10"/>
    <w:qFormat/>
    <w:rsid w:val="00DA40C6"/>
    <w:pPr>
      <w:keepNext/>
      <w:pageBreakBefore/>
      <w:numPr>
        <w:numId w:val="8"/>
      </w:numPr>
      <w:spacing w:before="120" w:after="120" w:line="259" w:lineRule="auto"/>
      <w:ind w:left="431" w:hanging="431"/>
      <w:outlineLvl w:val="0"/>
    </w:pPr>
    <w:rPr>
      <w:rFonts w:ascii="Arial" w:hAnsi="Arial" w:cs="Arial"/>
      <w:bCs/>
      <w:color w:val="006BB7"/>
      <w:sz w:val="36"/>
      <w:szCs w:val="32"/>
    </w:rPr>
  </w:style>
  <w:style w:type="character" w:customStyle="1" w:styleId="AppendixHeadingLevel1Char">
    <w:name w:val="Appendix Heading Level 1 Char"/>
    <w:basedOn w:val="DefaultParagraphFont"/>
    <w:link w:val="AppendixHeadingLevel1"/>
    <w:uiPriority w:val="10"/>
    <w:rsid w:val="00DA40C6"/>
    <w:rPr>
      <w:rFonts w:ascii="Arial" w:hAnsi="Arial" w:cs="Arial"/>
      <w:bCs/>
      <w:color w:val="006BB7"/>
      <w:sz w:val="36"/>
      <w:szCs w:val="32"/>
      <w:lang w:val="fr-FR"/>
    </w:rPr>
  </w:style>
  <w:style w:type="paragraph" w:customStyle="1" w:styleId="AppendixHeadingLevel2">
    <w:name w:val="Appendix Heading Level 2"/>
    <w:basedOn w:val="Heading2"/>
    <w:next w:val="Normal"/>
    <w:uiPriority w:val="10"/>
    <w:qFormat/>
    <w:rsid w:val="00DA40C6"/>
    <w:pPr>
      <w:numPr>
        <w:numId w:val="8"/>
      </w:numPr>
      <w:tabs>
        <w:tab w:val="clear" w:pos="0"/>
      </w:tabs>
      <w:spacing w:before="240" w:after="120"/>
    </w:pPr>
    <w:rPr>
      <w:rFonts w:cs="Arial"/>
      <w:b w:val="0"/>
      <w:bCs/>
      <w:iCs/>
      <w:color w:val="006BB7"/>
      <w:sz w:val="32"/>
      <w:szCs w:val="28"/>
    </w:rPr>
  </w:style>
  <w:style w:type="paragraph" w:customStyle="1" w:styleId="AppendixHeadingLevel3">
    <w:name w:val="Appendix Heading Level 3"/>
    <w:basedOn w:val="Heading3"/>
    <w:next w:val="Normal"/>
    <w:uiPriority w:val="10"/>
    <w:qFormat/>
    <w:rsid w:val="00DA40C6"/>
    <w:pPr>
      <w:numPr>
        <w:numId w:val="8"/>
      </w:numPr>
      <w:tabs>
        <w:tab w:val="clear" w:pos="992"/>
      </w:tabs>
      <w:spacing w:before="120" w:after="120" w:line="305" w:lineRule="auto"/>
      <w:ind w:left="612" w:hanging="612"/>
    </w:pPr>
    <w:rPr>
      <w:rFonts w:cs="Arial"/>
      <w:bCs/>
      <w:color w:val="006BB7"/>
      <w:sz w:val="24"/>
      <w:szCs w:val="26"/>
    </w:rPr>
  </w:style>
  <w:style w:type="paragraph" w:customStyle="1" w:styleId="AppendixHeadingLevel4">
    <w:name w:val="Appendix Heading Level 4"/>
    <w:basedOn w:val="AppendixHeadingLevel3"/>
    <w:next w:val="Normal"/>
    <w:uiPriority w:val="10"/>
    <w:qFormat/>
    <w:rsid w:val="00DA40C6"/>
    <w:pPr>
      <w:numPr>
        <w:ilvl w:val="3"/>
      </w:numPr>
      <w:tabs>
        <w:tab w:val="left" w:pos="993"/>
      </w:tabs>
      <w:spacing w:before="40" w:line="259" w:lineRule="auto"/>
      <w:ind w:left="862" w:hanging="862"/>
      <w:outlineLvl w:val="3"/>
    </w:pPr>
    <w:rPr>
      <w:sz w:val="20"/>
    </w:rPr>
  </w:style>
  <w:style w:type="paragraph" w:customStyle="1" w:styleId="AppendixHeadingLevel5">
    <w:name w:val="Appendix Heading Level 5"/>
    <w:basedOn w:val="AppendixHeadingLevel4"/>
    <w:next w:val="Normal"/>
    <w:uiPriority w:val="10"/>
    <w:unhideWhenUsed/>
    <w:qFormat/>
    <w:rsid w:val="00DA40C6"/>
    <w:pPr>
      <w:numPr>
        <w:ilvl w:val="4"/>
      </w:numPr>
      <w:tabs>
        <w:tab w:val="clear" w:pos="993"/>
        <w:tab w:val="num" w:pos="360"/>
        <w:tab w:val="left" w:pos="1134"/>
      </w:tabs>
      <w:ind w:left="1134" w:hanging="1134"/>
      <w:outlineLvl w:val="4"/>
    </w:pPr>
    <w:rPr>
      <w:b/>
      <w:bCs w:val="0"/>
      <w:i/>
      <w:iCs/>
      <w:color w:val="auto"/>
    </w:rPr>
  </w:style>
  <w:style w:type="character" w:styleId="Strong">
    <w:name w:val="Strong"/>
    <w:basedOn w:val="DefaultParagraphFont"/>
    <w:uiPriority w:val="22"/>
    <w:qFormat/>
    <w:rsid w:val="001657D7"/>
    <w:rPr>
      <w:b/>
      <w:bCs/>
    </w:rPr>
  </w:style>
  <w:style w:type="paragraph" w:styleId="NormalWeb">
    <w:name w:val="Normal (Web)"/>
    <w:basedOn w:val="Normal"/>
    <w:uiPriority w:val="99"/>
    <w:semiHidden/>
    <w:unhideWhenUsed/>
    <w:rsid w:val="007C58A5"/>
    <w:pPr>
      <w:spacing w:before="100" w:beforeAutospacing="1" w:after="100" w:afterAutospacing="1"/>
      <w:contextualSpacing w:val="0"/>
      <w:jc w:val="left"/>
    </w:pPr>
    <w:rPr>
      <w:rFonts w:ascii="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B07DB5"/>
    <w:rPr>
      <w:color w:val="605E5C"/>
      <w:shd w:val="clear" w:color="auto" w:fill="E1DFDD"/>
    </w:rPr>
  </w:style>
  <w:style w:type="paragraph" w:customStyle="1" w:styleId="Default">
    <w:name w:val="Default"/>
    <w:rsid w:val="005A5DDD"/>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rsid w:val="007C4A86"/>
    <w:rPr>
      <w:rFonts w:ascii="Arial" w:hAnsi="Arial"/>
      <w:lang w:val="fr-FR"/>
    </w:rPr>
  </w:style>
  <w:style w:type="character" w:styleId="Emphasis">
    <w:name w:val="Emphasis"/>
    <w:basedOn w:val="DefaultParagraphFont"/>
    <w:qFormat/>
    <w:rsid w:val="00CC0AED"/>
    <w:rPr>
      <w:i/>
      <w:iCs/>
    </w:rPr>
  </w:style>
  <w:style w:type="paragraph" w:styleId="TOCHeading">
    <w:name w:val="TOC Heading"/>
    <w:basedOn w:val="Heading1"/>
    <w:next w:val="Normal"/>
    <w:uiPriority w:val="39"/>
    <w:unhideWhenUsed/>
    <w:qFormat/>
    <w:rsid w:val="00640647"/>
    <w:pPr>
      <w:keepLines/>
      <w:numPr>
        <w:numId w:val="0"/>
      </w:numPr>
      <w:tabs>
        <w:tab w:val="clear" w:pos="0"/>
      </w:tabs>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E65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88446">
      <w:bodyDiv w:val="1"/>
      <w:marLeft w:val="0"/>
      <w:marRight w:val="0"/>
      <w:marTop w:val="0"/>
      <w:marBottom w:val="0"/>
      <w:divBdr>
        <w:top w:val="none" w:sz="0" w:space="0" w:color="auto"/>
        <w:left w:val="none" w:sz="0" w:space="0" w:color="auto"/>
        <w:bottom w:val="none" w:sz="0" w:space="0" w:color="auto"/>
        <w:right w:val="none" w:sz="0" w:space="0" w:color="auto"/>
      </w:divBdr>
    </w:div>
    <w:div w:id="460879725">
      <w:bodyDiv w:val="1"/>
      <w:marLeft w:val="0"/>
      <w:marRight w:val="0"/>
      <w:marTop w:val="0"/>
      <w:marBottom w:val="0"/>
      <w:divBdr>
        <w:top w:val="none" w:sz="0" w:space="0" w:color="auto"/>
        <w:left w:val="none" w:sz="0" w:space="0" w:color="auto"/>
        <w:bottom w:val="none" w:sz="0" w:space="0" w:color="auto"/>
        <w:right w:val="none" w:sz="0" w:space="0" w:color="auto"/>
      </w:divBdr>
      <w:divsChild>
        <w:div w:id="2052412356">
          <w:marLeft w:val="0"/>
          <w:marRight w:val="0"/>
          <w:marTop w:val="0"/>
          <w:marBottom w:val="0"/>
          <w:divBdr>
            <w:top w:val="none" w:sz="0" w:space="0" w:color="auto"/>
            <w:left w:val="none" w:sz="0" w:space="0" w:color="auto"/>
            <w:bottom w:val="none" w:sz="0" w:space="0" w:color="auto"/>
            <w:right w:val="none" w:sz="0" w:space="0" w:color="auto"/>
          </w:divBdr>
          <w:divsChild>
            <w:div w:id="302738976">
              <w:marLeft w:val="0"/>
              <w:marRight w:val="0"/>
              <w:marTop w:val="0"/>
              <w:marBottom w:val="0"/>
              <w:divBdr>
                <w:top w:val="none" w:sz="0" w:space="0" w:color="auto"/>
                <w:left w:val="none" w:sz="0" w:space="0" w:color="auto"/>
                <w:bottom w:val="none" w:sz="0" w:space="0" w:color="auto"/>
                <w:right w:val="none" w:sz="0" w:space="0" w:color="auto"/>
              </w:divBdr>
            </w:div>
            <w:div w:id="979506188">
              <w:marLeft w:val="0"/>
              <w:marRight w:val="0"/>
              <w:marTop w:val="0"/>
              <w:marBottom w:val="0"/>
              <w:divBdr>
                <w:top w:val="none" w:sz="0" w:space="0" w:color="auto"/>
                <w:left w:val="none" w:sz="0" w:space="0" w:color="auto"/>
                <w:bottom w:val="none" w:sz="0" w:space="0" w:color="auto"/>
                <w:right w:val="none" w:sz="0" w:space="0" w:color="auto"/>
              </w:divBdr>
            </w:div>
            <w:div w:id="116609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40111">
      <w:bodyDiv w:val="1"/>
      <w:marLeft w:val="0"/>
      <w:marRight w:val="0"/>
      <w:marTop w:val="0"/>
      <w:marBottom w:val="0"/>
      <w:divBdr>
        <w:top w:val="none" w:sz="0" w:space="0" w:color="auto"/>
        <w:left w:val="none" w:sz="0" w:space="0" w:color="auto"/>
        <w:bottom w:val="none" w:sz="0" w:space="0" w:color="auto"/>
        <w:right w:val="none" w:sz="0" w:space="0" w:color="auto"/>
      </w:divBdr>
    </w:div>
    <w:div w:id="754788685">
      <w:bodyDiv w:val="1"/>
      <w:marLeft w:val="0"/>
      <w:marRight w:val="0"/>
      <w:marTop w:val="0"/>
      <w:marBottom w:val="0"/>
      <w:divBdr>
        <w:top w:val="none" w:sz="0" w:space="0" w:color="auto"/>
        <w:left w:val="none" w:sz="0" w:space="0" w:color="auto"/>
        <w:bottom w:val="none" w:sz="0" w:space="0" w:color="auto"/>
        <w:right w:val="none" w:sz="0" w:space="0" w:color="auto"/>
      </w:divBdr>
    </w:div>
    <w:div w:id="822359201">
      <w:bodyDiv w:val="1"/>
      <w:marLeft w:val="0"/>
      <w:marRight w:val="0"/>
      <w:marTop w:val="0"/>
      <w:marBottom w:val="0"/>
      <w:divBdr>
        <w:top w:val="none" w:sz="0" w:space="0" w:color="auto"/>
        <w:left w:val="none" w:sz="0" w:space="0" w:color="auto"/>
        <w:bottom w:val="none" w:sz="0" w:space="0" w:color="auto"/>
        <w:right w:val="none" w:sz="0" w:space="0" w:color="auto"/>
      </w:divBdr>
    </w:div>
    <w:div w:id="824780506">
      <w:bodyDiv w:val="1"/>
      <w:marLeft w:val="0"/>
      <w:marRight w:val="0"/>
      <w:marTop w:val="0"/>
      <w:marBottom w:val="0"/>
      <w:divBdr>
        <w:top w:val="none" w:sz="0" w:space="0" w:color="auto"/>
        <w:left w:val="none" w:sz="0" w:space="0" w:color="auto"/>
        <w:bottom w:val="none" w:sz="0" w:space="0" w:color="auto"/>
        <w:right w:val="none" w:sz="0" w:space="0" w:color="auto"/>
      </w:divBdr>
    </w:div>
    <w:div w:id="1288707190">
      <w:bodyDiv w:val="1"/>
      <w:marLeft w:val="0"/>
      <w:marRight w:val="0"/>
      <w:marTop w:val="0"/>
      <w:marBottom w:val="0"/>
      <w:divBdr>
        <w:top w:val="none" w:sz="0" w:space="0" w:color="auto"/>
        <w:left w:val="none" w:sz="0" w:space="0" w:color="auto"/>
        <w:bottom w:val="none" w:sz="0" w:space="0" w:color="auto"/>
        <w:right w:val="none" w:sz="0" w:space="0" w:color="auto"/>
      </w:divBdr>
    </w:div>
    <w:div w:id="1759598389">
      <w:bodyDiv w:val="1"/>
      <w:marLeft w:val="0"/>
      <w:marRight w:val="0"/>
      <w:marTop w:val="0"/>
      <w:marBottom w:val="0"/>
      <w:divBdr>
        <w:top w:val="none" w:sz="0" w:space="0" w:color="auto"/>
        <w:left w:val="none" w:sz="0" w:space="0" w:color="auto"/>
        <w:bottom w:val="none" w:sz="0" w:space="0" w:color="auto"/>
        <w:right w:val="none" w:sz="0" w:space="0" w:color="auto"/>
      </w:divBdr>
    </w:div>
    <w:div w:id="1784037952">
      <w:bodyDiv w:val="1"/>
      <w:marLeft w:val="0"/>
      <w:marRight w:val="0"/>
      <w:marTop w:val="0"/>
      <w:marBottom w:val="0"/>
      <w:divBdr>
        <w:top w:val="none" w:sz="0" w:space="0" w:color="auto"/>
        <w:left w:val="none" w:sz="0" w:space="0" w:color="auto"/>
        <w:bottom w:val="none" w:sz="0" w:space="0" w:color="auto"/>
        <w:right w:val="none" w:sz="0" w:space="0" w:color="auto"/>
      </w:divBdr>
    </w:div>
    <w:div w:id="1804080322">
      <w:bodyDiv w:val="1"/>
      <w:marLeft w:val="0"/>
      <w:marRight w:val="0"/>
      <w:marTop w:val="0"/>
      <w:marBottom w:val="0"/>
      <w:divBdr>
        <w:top w:val="none" w:sz="0" w:space="0" w:color="auto"/>
        <w:left w:val="none" w:sz="0" w:space="0" w:color="auto"/>
        <w:bottom w:val="none" w:sz="0" w:space="0" w:color="auto"/>
        <w:right w:val="none" w:sz="0" w:space="0" w:color="auto"/>
      </w:divBdr>
    </w:div>
    <w:div w:id="1955018219">
      <w:bodyDiv w:val="1"/>
      <w:marLeft w:val="0"/>
      <w:marRight w:val="0"/>
      <w:marTop w:val="0"/>
      <w:marBottom w:val="0"/>
      <w:divBdr>
        <w:top w:val="none" w:sz="0" w:space="0" w:color="auto"/>
        <w:left w:val="none" w:sz="0" w:space="0" w:color="auto"/>
        <w:bottom w:val="none" w:sz="0" w:space="0" w:color="auto"/>
        <w:right w:val="none" w:sz="0" w:space="0" w:color="auto"/>
      </w:divBdr>
    </w:div>
    <w:div w:id="1981882301">
      <w:bodyDiv w:val="1"/>
      <w:marLeft w:val="0"/>
      <w:marRight w:val="0"/>
      <w:marTop w:val="0"/>
      <w:marBottom w:val="0"/>
      <w:divBdr>
        <w:top w:val="none" w:sz="0" w:space="0" w:color="auto"/>
        <w:left w:val="none" w:sz="0" w:space="0" w:color="auto"/>
        <w:bottom w:val="none" w:sz="0" w:space="0" w:color="auto"/>
        <w:right w:val="none" w:sz="0" w:space="0" w:color="auto"/>
      </w:divBdr>
    </w:div>
    <w:div w:id="211297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sapp.co.zw/sites/default/files/Sapp%20Annual%20Report%20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TaxonomyTaxHTField0 xmlns="http://schemas.microsoft.com/sharepoint/v3">
      <Terms xmlns="http://schemas.microsoft.com/office/infopath/2007/PartnerControls">
        <TermInfo xmlns="http://schemas.microsoft.com/office/infopath/2007/PartnerControls">
          <TermName xmlns="http://schemas.microsoft.com/office/infopath/2007/PartnerControls">Project Document</TermName>
          <TermId xmlns="http://schemas.microsoft.com/office/infopath/2007/PartnerControls">df098213-6b74-42fc-9316-2f1a9531d8f9</TermId>
        </TermInfo>
      </Terms>
    </Document_x0020_TypeTaxonomyTaxHTField0>
    <Document_x0020_Comments xmlns="http://schemas.microsoft.com/sharepoint/v3" xsi:nil="true"/>
    <Authors xmlns="http://schemas.microsoft.com/sharepoint/v3">
      <UserInfo>
        <DisplayName>Hedgecock, Jonathan</DisplayName>
        <AccountId>18</AccountId>
        <AccountType/>
      </UserInfo>
      <UserInfo>
        <DisplayName>Newton, Claire</DisplayName>
        <AccountId>21</AccountId>
        <AccountType/>
      </UserInfo>
      <UserInfo>
        <DisplayName>Kiarsi, Sepideh</DisplayName>
        <AccountId>56</AccountId>
        <AccountType/>
      </UserInfo>
      <UserInfo>
        <DisplayName>Kiarsi, Sepideh</DisplayName>
        <AccountId>56</AccountId>
        <AccountType/>
      </UserInfo>
    </Authors>
    <R-DivisionTaxonomyTaxHTField0 xmlns="http://schemas.microsoft.com/sharepoint/v3">
      <Terms xmlns="http://schemas.microsoft.com/office/infopath/2007/PartnerControls">
        <TermInfo xmlns="http://schemas.microsoft.com/office/infopath/2007/PartnerControls">
          <TermName xmlns="http://schemas.microsoft.com/office/infopath/2007/PartnerControls">Ricardo EE</TermName>
          <TermId xmlns="http://schemas.microsoft.com/office/infopath/2007/PartnerControls">865690f3-738b-419b-b41d-e464f9906df7</TermId>
        </TermInfo>
      </Terms>
    </R-DivisionTaxonomyTaxHTField0>
    <Project_x0020_Number xmlns="http://schemas.microsoft.com/sharepoint/v3">ED14828</Project_x0020_Number>
    <Document_x0020_Approver xmlns="http://schemas.microsoft.com/sharepoint/v3">
      <UserInfo>
        <DisplayName/>
        <AccountId xsi:nil="true"/>
        <AccountType/>
      </UserInfo>
    </Document_x0020_Approver>
    <R_x002d_KeywordsTaxonomyTaxHTField0 xmlns="http://schemas.microsoft.com/sharepoint/v3">
      <Terms xmlns="http://schemas.microsoft.com/office/infopath/2007/PartnerControls"/>
    </R_x002d_KeywordsTaxonomyTaxHTField0>
    <HideEverything xmlns="31694f11-635f-4b4d-a03d-a4ecc58e6899" xsi:nil="true"/>
    <BusinessAreaTaxonomyTaxHTField0 xmlns="http://schemas.microsoft.com/sharepoint/v3">
      <Terms xmlns="http://schemas.microsoft.com/office/infopath/2007/PartnerControls">
        <TermInfo xmlns="http://schemas.microsoft.com/office/infopath/2007/PartnerControls">
          <TermName xmlns="http://schemas.microsoft.com/office/infopath/2007/PartnerControls">IAU-Energy Power Planning ＆ Solutions</TermName>
          <TermId xmlns="http://schemas.microsoft.com/office/infopath/2007/PartnerControls">3109eaec-3641-4f6e-8645-3cdd61ef30c0</TermId>
        </TermInfo>
      </Terms>
    </BusinessAreaTaxonomyTaxHTField0>
    <TaxCatchAll xmlns="75975772-6a6d-4c16-8090-d45d9e29473d">
      <Value>12</Value>
      <Value>4</Value>
      <Value>3</Value>
      <Value>1</Value>
      <Value>5</Value>
    </TaxCatchAll>
    <AuthoredByCustomer xmlns="fa246daf-a2a1-4f21-bde3-dc17c00a5b4c">false</AuthoredByCustomer>
    <Document_x0020_Reference xmlns="http://schemas.microsoft.com/sharepoint/v3" xsi:nil="true"/>
    <RootDocumentReference xmlns="http://schemas.microsoft.com/sharepoint/v3" xsi:nil="true"/>
    <R-DivisionPolicyTaxonomyTaxHTField0 xmlns="http://schemas.microsoft.com/sharepoint/v3">
      <Terms xmlns="http://schemas.microsoft.com/office/infopath/2007/PartnerControls">
        <TermInfo xmlns="http://schemas.microsoft.com/office/infopath/2007/PartnerControls">
          <TermName xmlns="http://schemas.microsoft.com/office/infopath/2007/PartnerControls">Ricardo Energy ＆ Environment</TermName>
          <TermId xmlns="http://schemas.microsoft.com/office/infopath/2007/PartnerControls">291a8f75-3ce5-4629-b77a-f5136efa727d</TermId>
        </TermInfo>
      </Terms>
    </R-DivisionPolicyTaxonomyTaxHTField0>
    <Authoring_x0020_Departments xmlns="fa246daf-a2a1-4f21-bde3-dc17c00a5b4c">
      <Value>REE - Sustainable Infrastructure &amp; Ops</Value>
    </Authoring_x0020_Departments>
    <Issued_x0020_Date xmlns="fa246daf-a2a1-4f21-bde3-dc17c00a5b4c" xsi:nil="true"/>
    <Folder_x0020_Structure xmlns="http://schemas.microsoft.com/sharepoint/v3">&lt;a href="/projects/ED14828/Documents"&gt;Documents&lt;/a&gt; &amp;gt; &lt;a href="/projects/ED14828/Documents/3%20Project%20delivery"&gt;3 Project delivery&lt;/a&gt; &amp;gt; &lt;a href="/projects/ED14828/Documents/3%20Project%20delivery/Task%204%20RGC%20drafting"&gt;Task 4 RGC drafting&lt;/a&gt; &amp;gt; &lt;a href="/projects/ED14828/Documents/3%20Project%20delivery/Task%204%20RGC%20drafting/Translations"&gt;Translations&lt;/a&gt; &amp;gt; &lt;a href="/projects/ED14828/Documents/3%20Project%20delivery/Task%204%20RGC%20drafting/Translations/French%20SADC%20RGC"&gt;French SADC RGC&lt;/a&gt;</Folder_x0020_Structure>
    <Document_x0020_Status xmlns="fa246daf-a2a1-4f21-bde3-dc17c00a5b4c">Draft</Document_x0020_Status>
    <Document_x0020_Issued xmlns="fa246daf-a2a1-4f21-bde3-dc17c00a5b4c">No</Document_x0020_Issued>
    <Generate_x0020_Keywords xmlns="fa246daf-a2a1-4f21-bde3-dc17c00a5b4c">false</Generate_x0020_Keywords>
    <Market_x0020_SectorTaxonomyTaxHTField0 xmlns="http://schemas.microsoft.com/sharepoint/v3">
      <Terms xmlns="http://schemas.microsoft.com/office/infopath/2007/PartnerControls"/>
    </Market_x0020_SectorTaxonomyTaxHTField0>
    <KeyDocument xmlns="fa246daf-a2a1-4f21-bde3-dc17c00a5b4c">false</KeyDocument>
    <AgressoCustomerTaxonomyTaxHTField0 xmlns="http://schemas.microsoft.com/sharepoint/v3">
      <Terms xmlns="http://schemas.microsoft.com/office/infopath/2007/PartnerControls">
        <TermInfo xmlns="http://schemas.microsoft.com/office/infopath/2007/PartnerControls">
          <TermName xmlns="http://schemas.microsoft.com/office/infopath/2007/PartnerControls">Southern African Power Pool (SAPP)</TermName>
          <TermId xmlns="http://schemas.microsoft.com/office/infopath/2007/PartnerControls">e03e47f9-f0e0-4b79-834c-af2435f80c70</TermId>
        </TermInfo>
      </Terms>
    </AgressoCustomerTaxonomyTaxHTField0>
    <ApprovalRecordedBy xmlns="http://schemas.microsoft.com/sharepoint/v3">
      <UserInfo>
        <DisplayName/>
        <AccountId xsi:nil="true"/>
        <AccountType/>
      </UserInfo>
    </ApprovalRecordedBy>
    <Version_x0020_No xmlns="http://schemas.microsoft.com/sharepoint/v3">0.2</Version_x0020_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02677147-8018-48bf-96e8-39add3f86844" ContentTypeId="0x010100A1A26C4BCFF240D5BC273ED44781910B" PreviousValue="true"/>
</file>

<file path=customXml/item5.xml><?xml version="1.0" encoding="utf-8"?>
<ct:contentTypeSchema xmlns:ct="http://schemas.microsoft.com/office/2006/metadata/contentType" xmlns:ma="http://schemas.microsoft.com/office/2006/metadata/properties/metaAttributes" ct:_="" ma:_="" ma:contentTypeName="REE Project Document" ma:contentTypeID="0x010100A1A26C4BCFF240D5BC273ED44781910B00B00B20F78B4C9747B15750D641297880" ma:contentTypeVersion="18" ma:contentTypeDescription="REE Project Document" ma:contentTypeScope="" ma:versionID="9ed8f091305cfe0fa958168e6d650c0c">
  <xsd:schema xmlns:xsd="http://www.w3.org/2001/XMLSchema" xmlns:xs="http://www.w3.org/2001/XMLSchema" xmlns:p="http://schemas.microsoft.com/office/2006/metadata/properties" xmlns:ns1="http://schemas.microsoft.com/sharepoint/v3" xmlns:ns2="75975772-6a6d-4c16-8090-d45d9e29473d" xmlns:ns3="fa246daf-a2a1-4f21-bde3-dc17c00a5b4c" xmlns:ns4="31694f11-635f-4b4d-a03d-a4ecc58e6899" targetNamespace="http://schemas.microsoft.com/office/2006/metadata/properties" ma:root="true" ma:fieldsID="0e7afe7c551501d8973a42f34c4805ab" ns1:_="" ns2:_="" ns3:_="" ns4:_="">
    <xsd:import namespace="http://schemas.microsoft.com/sharepoint/v3"/>
    <xsd:import namespace="75975772-6a6d-4c16-8090-d45d9e29473d"/>
    <xsd:import namespace="fa246daf-a2a1-4f21-bde3-dc17c00a5b4c"/>
    <xsd:import namespace="31694f11-635f-4b4d-a03d-a4ecc58e6899"/>
    <xsd:element name="properties">
      <xsd:complexType>
        <xsd:sequence>
          <xsd:element name="documentManagement">
            <xsd:complexType>
              <xsd:all>
                <xsd:element ref="ns2:_dlc_DocId" minOccurs="0"/>
                <xsd:element ref="ns2:_dlc_DocIdUrl" minOccurs="0"/>
                <xsd:element ref="ns2:_dlc_DocIdPersistId" minOccurs="0"/>
                <xsd:element ref="ns1:Document_x0020_TypeTaxonomyTaxHTField0" minOccurs="0"/>
                <xsd:element ref="ns1:R_x002d_KeywordsTaxonomyTaxHTField0" minOccurs="0"/>
                <xsd:element ref="ns3:Generate_x0020_Keywords" minOccurs="0"/>
                <xsd:element ref="ns1:Project_x0020_Number" minOccurs="0"/>
                <xsd:element ref="ns1:AgressoCustomerTaxonomyTaxHTField0" minOccurs="0"/>
                <xsd:element ref="ns1:BusinessAreaTaxonomyTaxHTField0" minOccurs="0"/>
                <xsd:element ref="ns1:R-DivisionPolicyTaxonomyTaxHTField0" minOccurs="0"/>
                <xsd:element ref="ns1:Market_x0020_SectorTaxonomyTaxHTField0" minOccurs="0"/>
                <xsd:element ref="ns1:Document_x0020_Comments" minOccurs="0"/>
                <xsd:element ref="ns1:Folder_x0020_Structure" minOccurs="0"/>
                <xsd:element ref="ns2:TaxCatchAll" minOccurs="0"/>
                <xsd:element ref="ns2:TaxCatchAllLabel" minOccurs="0"/>
                <xsd:element ref="ns1:FileExtension" minOccurs="0"/>
                <xsd:element ref="ns3:KeyDocument" minOccurs="0"/>
                <xsd:element ref="ns3:AuthoredByCustomer" minOccurs="0"/>
                <xsd:element ref="ns1:Authors" minOccurs="0"/>
                <xsd:element ref="ns3:Authoring_x0020_Departments" minOccurs="0"/>
                <xsd:element ref="ns3:Document_x0020_Issued" minOccurs="0"/>
                <xsd:element ref="ns1:Document_x0020_Reference" minOccurs="0"/>
                <xsd:element ref="ns1:RootDocumentReference" minOccurs="0"/>
                <xsd:element ref="ns3:Issued_x0020_Date" minOccurs="0"/>
                <xsd:element ref="ns3:Document_x0020_Status" minOccurs="0"/>
                <xsd:element ref="ns1:Document_x0020_Approver" minOccurs="0"/>
                <xsd:element ref="ns1:ApprovalRecordedBy" minOccurs="0"/>
                <xsd:element ref="ns1:Version_x0020_No" minOccurs="0"/>
                <xsd:element ref="ns1:R-DivisionTaxonomyTaxHTField0" minOccurs="0"/>
                <xsd:element ref="ns4:HideEveryth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_x0020_TypeTaxonomyTaxHTField0" ma:index="12" ma:taxonomy="true" ma:internalName="Document_x0020_TypeTaxonomyTaxHTField0" ma:taxonomyFieldName="Document_x0020_Type" ma:displayName="Document Type" ma:default="1;#Project Document|df098213-6b74-42fc-9316-2f1a9531d8f9" ma:fieldId="{fd31b5d2-9459-4462-9e35-c51176d55d6c}" ma:sspId="02677147-8018-48bf-96e8-39add3f86844" ma:termSetId="80de7132-7744-4fa5-9cb1-6eeaa76d3251" ma:anchorId="00000000-0000-0000-0000-000000000000" ma:open="false" ma:isKeyword="false">
      <xsd:complexType>
        <xsd:sequence>
          <xsd:element ref="pc:Terms" minOccurs="0" maxOccurs="1"/>
        </xsd:sequence>
      </xsd:complexType>
    </xsd:element>
    <xsd:element name="R_x002d_KeywordsTaxonomyTaxHTField0" ma:index="14" nillable="true" ma:taxonomy="true" ma:internalName="R_x002d_KeywordsTaxonomyTaxHTField0" ma:taxonomyFieldName="R_x002d_Keywords" ma:displayName="R-Keywords" ma:fieldId="{1c42c021-f3aa-43e0-98ca-6790571791a9}" ma:sspId="02677147-8018-48bf-96e8-39add3f86844" ma:termSetId="3101ac92-b66e-4a17-9ea7-0976b491e8e5" ma:anchorId="00000000-0000-0000-0000-000000000000" ma:open="false" ma:isKeyword="false">
      <xsd:complexType>
        <xsd:sequence>
          <xsd:element ref="pc:Terms" minOccurs="0" maxOccurs="1"/>
        </xsd:sequence>
      </xsd:complexType>
    </xsd:element>
    <xsd:element name="Project_x0020_Number" ma:index="16" nillable="true" ma:displayName="Project Number" ma:internalName="Project_x0020_Number">
      <xsd:simpleType>
        <xsd:restriction base="dms:Text"/>
      </xsd:simpleType>
    </xsd:element>
    <xsd:element name="AgressoCustomerTaxonomyTaxHTField0" ma:index="18" nillable="true" ma:taxonomy="true" ma:internalName="AgressoCustomerTaxonomyTaxHTField0" ma:taxonomyFieldName="AgressoCustomer" ma:displayName="Customer" ma:fieldId="{1d3b52e4-1af7-4246-9c35-147842386b6c}" ma:sspId="02677147-8018-48bf-96e8-39add3f86844" ma:termSetId="923cec87-5f7b-42ba-9a57-d5efa69a4b84" ma:anchorId="00000000-0000-0000-0000-000000000000" ma:open="false" ma:isKeyword="false">
      <xsd:complexType>
        <xsd:sequence>
          <xsd:element ref="pc:Terms" minOccurs="0" maxOccurs="1"/>
        </xsd:sequence>
      </xsd:complexType>
    </xsd:element>
    <xsd:element name="BusinessAreaTaxonomyTaxHTField0" ma:index="20" nillable="true" ma:taxonomy="true" ma:internalName="BusinessAreaTaxonomyTaxHTField0" ma:taxonomyFieldName="BusinessArea" ma:displayName="Business Area" ma:fieldId="{4d2c5a62-cace-44d5-a5f6-13d3bee16938}" ma:sspId="02677147-8018-48bf-96e8-39add3f86844" ma:termSetId="b135ba22-1eea-4fc3-9293-1752ba7ea5f6" ma:anchorId="00000000-0000-0000-0000-000000000000" ma:open="false" ma:isKeyword="false">
      <xsd:complexType>
        <xsd:sequence>
          <xsd:element ref="pc:Terms" minOccurs="0" maxOccurs="1"/>
        </xsd:sequence>
      </xsd:complexType>
    </xsd:element>
    <xsd:element name="R-DivisionPolicyTaxonomyTaxHTField0" ma:index="22" nillable="true" ma:taxonomy="true" ma:internalName="R_x002d_DivisionPolicyTaxonomyTaxHTField0" ma:taxonomyFieldName="R_x002d_DivisionPolicy" ma:displayName="Division" ma:fieldId="{50ad19bc-2508-45c6-bb4f-781576d44aa2}" ma:sspId="02677147-8018-48bf-96e8-39add3f86844" ma:termSetId="f724f16d-ce9a-4784-adab-f98a1fd9d8e6" ma:anchorId="00000000-0000-0000-0000-000000000000" ma:open="false" ma:isKeyword="false">
      <xsd:complexType>
        <xsd:sequence>
          <xsd:element ref="pc:Terms" minOccurs="0" maxOccurs="1"/>
        </xsd:sequence>
      </xsd:complexType>
    </xsd:element>
    <xsd:element name="Market_x0020_SectorTaxonomyTaxHTField0" ma:index="25" nillable="true" ma:taxonomy="true" ma:internalName="Market_x0020_SectorTaxonomyTaxHTField0" ma:taxonomyFieldName="Market_x0020_Sector" ma:displayName="Market Sector" ma:fieldId="{91294c4a-0fea-4059-9ad9-cccc9ef86cba}" ma:sspId="02677147-8018-48bf-96e8-39add3f86844" ma:termSetId="08cfdd10-ef36-4030-98be-25f6a603bde4" ma:anchorId="00000000-0000-0000-0000-000000000000" ma:open="false" ma:isKeyword="false">
      <xsd:complexType>
        <xsd:sequence>
          <xsd:element ref="pc:Terms" minOccurs="0" maxOccurs="1"/>
        </xsd:sequence>
      </xsd:complexType>
    </xsd:element>
    <xsd:element name="Document_x0020_Comments" ma:index="26" nillable="true" ma:displayName="Document Comments" ma:internalName="Document_x0020_Comments">
      <xsd:simpleType>
        <xsd:restriction base="dms:Note">
          <xsd:maxLength value="255"/>
        </xsd:restriction>
      </xsd:simpleType>
    </xsd:element>
    <xsd:element name="Folder_x0020_Structure" ma:index="27" nillable="true" ma:displayName="Folder Structure" ma:internalName="Folder_x0020_Structure">
      <xsd:simpleType>
        <xsd:restriction base="dms:Note"/>
      </xsd:simpleType>
    </xsd:element>
    <xsd:element name="FileExtension" ma:index="30" nillable="true" ma:displayName="File Extension" ma:internalName="FileExtension" ma:readOnly="true">
      <xsd:simpleType>
        <xsd:restriction base="dms:Text"/>
      </xsd:simpleType>
    </xsd:element>
    <xsd:element name="Authors" ma:index="33" nillable="true" ma:displayName="Authors" ma:internalName="Auth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Reference" ma:index="36" nillable="true" ma:displayName="Document Reference" ma:indexed="true" ma:internalName="Document_x0020_Reference">
      <xsd:simpleType>
        <xsd:restriction base="dms:Text"/>
      </xsd:simpleType>
    </xsd:element>
    <xsd:element name="RootDocumentReference" ma:index="37" nillable="true" ma:displayName="Root Document Reference" ma:indexed="true" ma:internalName="RootDocumentReference">
      <xsd:simpleType>
        <xsd:restriction base="dms:Text"/>
      </xsd:simpleType>
    </xsd:element>
    <xsd:element name="Document_x0020_Approver" ma:index="40" nillable="true" ma:displayName="Document Approver" ma:internalName="Document_x0020_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cordedBy" ma:index="41" nillable="true" ma:displayName="Approval Recorded By" ma:internalName="ApprovalRecord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sion_x0020_No" ma:index="42" nillable="true" ma:displayName="Version No" ma:internalName="Version_x0020_No" ma:readOnly="true">
      <xsd:simpleType>
        <xsd:restriction base="dms:Text"/>
      </xsd:simpleType>
    </xsd:element>
    <xsd:element name="R-DivisionTaxonomyTaxHTField0" ma:index="43" nillable="true" ma:taxonomy="true" ma:internalName="R_x002d_DivisionTaxonomyTaxHTField0" ma:taxonomyFieldName="R_x002d_Division" ma:displayName="Company" ma:fieldId="{a0b740e5-6a48-43d1-aea4-81fb22ff6c26}" ma:sspId="02677147-8018-48bf-96e8-39add3f86844" ma:termSetId="916500c3-4c6e-47cd-8039-34f4c1f6d9a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975772-6a6d-4c16-8090-d45d9e29473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41142099-c441-46dd-a10b-40c308ff7ef9}" ma:internalName="TaxCatchAll" ma:showField="CatchAllData" ma:web="fa246daf-a2a1-4f21-bde3-dc17c00a5b4c">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41142099-c441-46dd-a10b-40c308ff7ef9}" ma:internalName="TaxCatchAllLabel" ma:readOnly="true" ma:showField="CatchAllDataLabel" ma:web="fa246daf-a2a1-4f21-bde3-dc17c00a5b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246daf-a2a1-4f21-bde3-dc17c00a5b4c" elementFormDefault="qualified">
    <xsd:import namespace="http://schemas.microsoft.com/office/2006/documentManagement/types"/>
    <xsd:import namespace="http://schemas.microsoft.com/office/infopath/2007/PartnerControls"/>
    <xsd:element name="Generate_x0020_Keywords" ma:index="15" nillable="true" ma:displayName="Generate Keywords" ma:default="1" ma:internalName="Generate_x0020_Keywords">
      <xsd:simpleType>
        <xsd:restriction base="dms:Boolean"/>
      </xsd:simpleType>
    </xsd:element>
    <xsd:element name="KeyDocument" ma:index="31" nillable="true" ma:displayName="Key Document" ma:default="0" ma:internalName="KeyDocument">
      <xsd:simpleType>
        <xsd:restriction base="dms:Boolean"/>
      </xsd:simpleType>
    </xsd:element>
    <xsd:element name="AuthoredByCustomer" ma:index="32" nillable="true" ma:displayName="Authored By Customer" ma:default="0" ma:internalName="AuthoredByCustomer">
      <xsd:simpleType>
        <xsd:restriction base="dms:Boolean"/>
      </xsd:simpleType>
    </xsd:element>
    <xsd:element name="Authoring_x0020_Departments" ma:index="34" nillable="true" ma:displayName="Authoring Departments" ma:internalName="Authoring_x0020_Departments">
      <xsd:complexType>
        <xsd:complexContent>
          <xsd:extension base="dms:MultiChoiceFillIn">
            <xsd:sequence>
              <xsd:element name="Value" maxOccurs="unbounded" minOccurs="0" nillable="true">
                <xsd:simpleType>
                  <xsd:union memberTypes="dms:Text">
                    <xsd:simpleType>
                      <xsd:restriction base="dms:Choice">
                        <xsd:enumeration value="No Department"/>
                      </xsd:restriction>
                    </xsd:simpleType>
                  </xsd:union>
                </xsd:simpleType>
              </xsd:element>
            </xsd:sequence>
          </xsd:extension>
        </xsd:complexContent>
      </xsd:complexType>
    </xsd:element>
    <xsd:element name="Document_x0020_Issued" ma:index="35" nillable="true" ma:displayName="Document Issued" ma:internalName="Document_x0020_Issued">
      <xsd:simpleType>
        <xsd:restriction base="dms:Choice">
          <xsd:enumeration value="Yes"/>
          <xsd:enumeration value="No"/>
        </xsd:restriction>
      </xsd:simpleType>
    </xsd:element>
    <xsd:element name="Issued_x0020_Date" ma:index="38" nillable="true" ma:displayName="Issued Date" ma:format="DateOnly" ma:internalName="Issued_x0020_Date">
      <xsd:simpleType>
        <xsd:restriction base="dms:DateTime"/>
      </xsd:simpleType>
    </xsd:element>
    <xsd:element name="Document_x0020_Status" ma:index="39" nillable="true" ma:displayName="Document Status" ma:internalName="Document_x0020_Status">
      <xsd:simpleType>
        <xsd:restriction base="dms:Choice">
          <xsd:enumeration value="Approved"/>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31694f11-635f-4b4d-a03d-a4ecc58e6899" elementFormDefault="qualified">
    <xsd:import namespace="http://schemas.microsoft.com/office/2006/documentManagement/types"/>
    <xsd:import namespace="http://schemas.microsoft.com/office/infopath/2007/PartnerControls"/>
    <xsd:element name="HideEverything" ma:index="44" nillable="true" ma:displayName="HideEverything" ma:internalName="HideEverything">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C5678-1C06-417F-98A8-774C4E1ABA28}">
  <ds:schemaRefs>
    <ds:schemaRef ds:uri="http://schemas.microsoft.com/office/2006/metadata/properties"/>
    <ds:schemaRef ds:uri="http://schemas.microsoft.com/office/infopath/2007/PartnerControls"/>
    <ds:schemaRef ds:uri="http://schemas.microsoft.com/sharepoint/v3"/>
    <ds:schemaRef ds:uri="31694f11-635f-4b4d-a03d-a4ecc58e6899"/>
    <ds:schemaRef ds:uri="75975772-6a6d-4c16-8090-d45d9e29473d"/>
    <ds:schemaRef ds:uri="fa246daf-a2a1-4f21-bde3-dc17c00a5b4c"/>
  </ds:schemaRefs>
</ds:datastoreItem>
</file>

<file path=customXml/itemProps2.xml><?xml version="1.0" encoding="utf-8"?>
<ds:datastoreItem xmlns:ds="http://schemas.openxmlformats.org/officeDocument/2006/customXml" ds:itemID="{B6E2622F-CAAD-4097-B80D-5C809DBC3E9C}">
  <ds:schemaRefs>
    <ds:schemaRef ds:uri="http://schemas.microsoft.com/sharepoint/v3/contenttype/forms"/>
  </ds:schemaRefs>
</ds:datastoreItem>
</file>

<file path=customXml/itemProps3.xml><?xml version="1.0" encoding="utf-8"?>
<ds:datastoreItem xmlns:ds="http://schemas.openxmlformats.org/officeDocument/2006/customXml" ds:itemID="{463CC95B-915C-4608-8F36-AE07C2A6F976}">
  <ds:schemaRefs>
    <ds:schemaRef ds:uri="http://schemas.microsoft.com/sharepoint/events"/>
  </ds:schemaRefs>
</ds:datastoreItem>
</file>

<file path=customXml/itemProps4.xml><?xml version="1.0" encoding="utf-8"?>
<ds:datastoreItem xmlns:ds="http://schemas.openxmlformats.org/officeDocument/2006/customXml" ds:itemID="{8889B0CC-6D6E-4F2D-9CC4-9983372C5482}">
  <ds:schemaRefs>
    <ds:schemaRef ds:uri="Microsoft.SharePoint.Taxonomy.ContentTypeSync"/>
  </ds:schemaRefs>
</ds:datastoreItem>
</file>

<file path=customXml/itemProps5.xml><?xml version="1.0" encoding="utf-8"?>
<ds:datastoreItem xmlns:ds="http://schemas.openxmlformats.org/officeDocument/2006/customXml" ds:itemID="{07A33164-B357-4B81-B50C-68F16F3DE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975772-6a6d-4c16-8090-d45d9e29473d"/>
    <ds:schemaRef ds:uri="fa246daf-a2a1-4f21-bde3-dc17c00a5b4c"/>
    <ds:schemaRef ds:uri="31694f11-635f-4b4d-a03d-a4ecc58e6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8A3E610-7651-41BD-A1D2-5B924433C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3690</Words>
  <Characters>21035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GMS Regional Grid Code</vt:lpstr>
    </vt:vector>
  </TitlesOfParts>
  <Company>RPTCC</Company>
  <LinksUpToDate>false</LinksUpToDate>
  <CharactersWithSpaces>24676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GMS Regional Grid Code</dc:title>
  <dc:creator>Graeme.Chown@ricardo.com</dc:creator>
  <cp:lastModifiedBy>Pedro Lusakalalu</cp:lastModifiedBy>
  <cp:revision>2</cp:revision>
  <cp:lastPrinted>2017-09-29T02:01:00Z</cp:lastPrinted>
  <dcterms:created xsi:type="dcterms:W3CDTF">2022-02-25T17:56:00Z</dcterms:created>
  <dcterms:modified xsi:type="dcterms:W3CDTF">2022-02-25T17:56:00Z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0x010100A1A26C4BCFF240D5BC273ED44781910B00B00B20F78B4C9747B15750D641297880</vt:lpwstr>
  </property>
  <property fmtid="{D5CDD505-2E9C-101B-9397-08002B2CF9AE}" pid="3" name="BusinessArea">
    <vt:lpwstr>5;#IAU-Energy Power Planning ＆ Solutions|3109eaec-3641-4f6e-8645-3cdd61ef30c0</vt:lpwstr>
  </property>
  <property fmtid="{D5CDD505-2E9C-101B-9397-08002B2CF9AE}" pid="4" name="R-Division">
    <vt:lpwstr>4;#Ricardo EE|865690f3-738b-419b-b41d-e464f9906df7</vt:lpwstr>
  </property>
  <property fmtid="{D5CDD505-2E9C-101B-9397-08002B2CF9AE}" pid="5" name="R-DivisionPolicy">
    <vt:lpwstr>3;#Ricardo Energy ＆ Environment|291a8f75-3ce5-4629-b77a-f5136efa727d</vt:lpwstr>
  </property>
  <property fmtid="{D5CDD505-2E9C-101B-9397-08002B2CF9AE}" pid="6" name="R-Keywords">
    <vt:lpwstr/>
  </property>
  <property fmtid="{D5CDD505-2E9C-101B-9397-08002B2CF9AE}" pid="7" name="Document Type">
    <vt:lpwstr>1</vt:lpwstr>
  </property>
  <property fmtid="{D5CDD505-2E9C-101B-9397-08002B2CF9AE}" pid="8" name="AgressoCustomer">
    <vt:lpwstr>12;#Southern African Power Pool (SAPP)|e03e47f9-f0e0-4b79-834c-af2435f80c70</vt:lpwstr>
  </property>
</Properties>
</file>