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9ACCE" w14:textId="5E0223F9" w:rsidR="008D2D3D" w:rsidRPr="004C5B8E" w:rsidRDefault="00987602" w:rsidP="008D2D3D">
      <w:pPr>
        <w:spacing w:line="360" w:lineRule="auto"/>
        <w:jc w:val="center"/>
        <w:rPr>
          <w:rFonts w:cs="Arial"/>
          <w:b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7EC2391F" wp14:editId="0CB8996B">
            <wp:simplePos x="0" y="0"/>
            <wp:positionH relativeFrom="column">
              <wp:posOffset>2993551</wp:posOffset>
            </wp:positionH>
            <wp:positionV relativeFrom="paragraph">
              <wp:posOffset>-457617</wp:posOffset>
            </wp:positionV>
            <wp:extent cx="2824480" cy="603250"/>
            <wp:effectExtent l="0" t="0" r="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48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1" behindDoc="0" locked="0" layoutInCell="1" allowOverlap="1" wp14:anchorId="4F97A62B" wp14:editId="325B4D0D">
            <wp:simplePos x="0" y="0"/>
            <wp:positionH relativeFrom="column">
              <wp:posOffset>-179525</wp:posOffset>
            </wp:positionH>
            <wp:positionV relativeFrom="paragraph">
              <wp:posOffset>-600653</wp:posOffset>
            </wp:positionV>
            <wp:extent cx="2533650" cy="844550"/>
            <wp:effectExtent l="0" t="0" r="0" b="0"/>
            <wp:wrapNone/>
            <wp:docPr id="1" name="Picture 1" descr="RER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RA 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873008" w14:textId="2E6A6CAC" w:rsidR="008D2D3D" w:rsidRPr="004C5B8E" w:rsidRDefault="008D2D3D" w:rsidP="008D2D3D">
      <w:pPr>
        <w:spacing w:line="360" w:lineRule="auto"/>
        <w:jc w:val="center"/>
        <w:rPr>
          <w:rFonts w:cs="Arial"/>
          <w:b/>
          <w:lang w:val="en-GB"/>
        </w:rPr>
      </w:pPr>
    </w:p>
    <w:p w14:paraId="674A6A89" w14:textId="132AE485" w:rsidR="008D2D3D" w:rsidRDefault="008D2D3D" w:rsidP="008D2D3D">
      <w:pPr>
        <w:spacing w:line="360" w:lineRule="auto"/>
        <w:jc w:val="center"/>
        <w:rPr>
          <w:rFonts w:cs="Arial"/>
          <w:b/>
          <w:lang w:val="en-GB"/>
        </w:rPr>
      </w:pPr>
    </w:p>
    <w:p w14:paraId="6F8D8CB8" w14:textId="30579558" w:rsidR="00987602" w:rsidRDefault="00987602" w:rsidP="008D2D3D">
      <w:pPr>
        <w:spacing w:line="360" w:lineRule="auto"/>
        <w:jc w:val="center"/>
        <w:rPr>
          <w:rFonts w:cs="Arial"/>
          <w:b/>
          <w:lang w:val="en-GB"/>
        </w:rPr>
      </w:pPr>
    </w:p>
    <w:p w14:paraId="2B090F50" w14:textId="159D2856" w:rsidR="00987602" w:rsidRDefault="00987602" w:rsidP="008D2D3D">
      <w:pPr>
        <w:spacing w:line="360" w:lineRule="auto"/>
        <w:jc w:val="center"/>
        <w:rPr>
          <w:rFonts w:cs="Arial"/>
          <w:b/>
          <w:lang w:val="en-GB"/>
        </w:rPr>
      </w:pPr>
    </w:p>
    <w:p w14:paraId="49212E87" w14:textId="77777777" w:rsidR="00987602" w:rsidRPr="004C5B8E" w:rsidRDefault="00987602" w:rsidP="008D2D3D">
      <w:pPr>
        <w:spacing w:line="360" w:lineRule="auto"/>
        <w:jc w:val="center"/>
        <w:rPr>
          <w:rFonts w:cs="Arial"/>
          <w:b/>
          <w:lang w:val="en-GB"/>
        </w:rPr>
      </w:pPr>
    </w:p>
    <w:p w14:paraId="2CE5FC7C" w14:textId="458AB846" w:rsidR="008D2D3D" w:rsidRPr="004C5B8E" w:rsidRDefault="008D2D3D" w:rsidP="008D2D3D">
      <w:pPr>
        <w:spacing w:line="360" w:lineRule="auto"/>
        <w:jc w:val="center"/>
        <w:rPr>
          <w:rFonts w:cs="Arial"/>
          <w:b/>
          <w:lang w:val="en-GB"/>
        </w:rPr>
      </w:pPr>
    </w:p>
    <w:p w14:paraId="0E13FE69" w14:textId="120A2F0A" w:rsidR="008D2D3D" w:rsidRPr="004C5B8E" w:rsidRDefault="008D2D3D" w:rsidP="008D2D3D">
      <w:pPr>
        <w:spacing w:line="360" w:lineRule="auto"/>
        <w:jc w:val="center"/>
        <w:rPr>
          <w:rFonts w:cs="Arial"/>
          <w:b/>
          <w:lang w:val="en-GB"/>
        </w:rPr>
      </w:pPr>
    </w:p>
    <w:p w14:paraId="72F50711" w14:textId="1C95DE56" w:rsidR="002647BB" w:rsidRPr="002647BB" w:rsidRDefault="00904928" w:rsidP="002647BB">
      <w:pPr>
        <w:pStyle w:val="Title"/>
        <w:spacing w:after="0"/>
        <w:rPr>
          <w:rFonts w:ascii="Arial" w:hAnsi="Arial" w:cs="Arial"/>
        </w:rPr>
      </w:pPr>
      <w:r w:rsidRPr="002647BB">
        <w:rPr>
          <w:rFonts w:ascii="Arial" w:hAnsi="Arial" w:cs="Arial"/>
          <w:caps/>
        </w:rPr>
        <w:t>Código da rede regional da</w:t>
      </w:r>
      <w:r w:rsidR="002647BB" w:rsidRPr="002647BB">
        <w:rPr>
          <w:rFonts w:ascii="Arial" w:hAnsi="Arial" w:cs="Arial"/>
          <w:caps/>
        </w:rPr>
        <w:t xml:space="preserve"> </w:t>
      </w:r>
      <w:r w:rsidR="002647BB" w:rsidRPr="002647BB">
        <w:rPr>
          <w:rFonts w:ascii="Arial" w:hAnsi="Arial" w:cs="Arial"/>
          <w:caps/>
        </w:rPr>
        <w:t>SADC</w:t>
      </w:r>
    </w:p>
    <w:p w14:paraId="1D6926F9" w14:textId="3D1D0000" w:rsidR="00F20F59" w:rsidRPr="00980B05" w:rsidRDefault="00904928" w:rsidP="002C1606">
      <w:pPr>
        <w:pStyle w:val="Title1"/>
      </w:pPr>
      <w:r>
        <w:rPr>
          <w:caps/>
          <w:smallCaps/>
          <w:sz w:val="48"/>
          <w:szCs w:val="48"/>
        </w:rPr>
        <w:t xml:space="preserve"> </w:t>
      </w:r>
    </w:p>
    <w:p w14:paraId="6608D334" w14:textId="597BC1CC" w:rsidR="00F20F59" w:rsidRPr="00980B05" w:rsidRDefault="00F20F59" w:rsidP="00F20F59">
      <w:pPr>
        <w:rPr>
          <w:lang w:val="en-GB"/>
        </w:rPr>
      </w:pPr>
    </w:p>
    <w:p w14:paraId="7B9B6D4B" w14:textId="77777777" w:rsidR="00F20F59" w:rsidRPr="00980B05" w:rsidRDefault="00F20F59" w:rsidP="00F20F59">
      <w:pPr>
        <w:rPr>
          <w:lang w:val="en-GB"/>
        </w:rPr>
      </w:pPr>
    </w:p>
    <w:p w14:paraId="14BCDCAC" w14:textId="03F1EF0A" w:rsidR="009F375B" w:rsidRPr="00987602" w:rsidRDefault="008817C5" w:rsidP="00F20F59">
      <w:pPr>
        <w:pStyle w:val="Title2"/>
        <w:rPr>
          <w:i w:val="0"/>
          <w:iCs/>
        </w:rPr>
      </w:pPr>
      <w:r>
        <w:rPr>
          <w:i w:val="0"/>
          <w:iCs/>
        </w:rPr>
        <w:t>Preâmbulo (text</w:t>
      </w:r>
      <w:r w:rsidR="002647BB">
        <w:rPr>
          <w:i w:val="0"/>
          <w:iCs/>
        </w:rPr>
        <w:t>o</w:t>
      </w:r>
      <w:r>
        <w:rPr>
          <w:i w:val="0"/>
          <w:iCs/>
        </w:rPr>
        <w:t>-projecto)</w:t>
      </w:r>
    </w:p>
    <w:p w14:paraId="2C6A60DE" w14:textId="4B7C82BE" w:rsidR="009F375B" w:rsidRPr="00980B05" w:rsidRDefault="009F375B">
      <w:pPr>
        <w:rPr>
          <w:lang w:val="en-GB"/>
        </w:rPr>
      </w:pPr>
    </w:p>
    <w:p w14:paraId="0812E8D6" w14:textId="283BE2DB" w:rsidR="009F375B" w:rsidRPr="00980B05" w:rsidRDefault="00D24E83">
      <w:r>
        <w:t xml:space="preserve">       </w:t>
      </w:r>
    </w:p>
    <w:p w14:paraId="587B1875" w14:textId="33A29071" w:rsidR="009F375B" w:rsidRPr="00980B05" w:rsidRDefault="009F375B">
      <w:pPr>
        <w:rPr>
          <w:lang w:val="en-GB"/>
        </w:rPr>
      </w:pPr>
    </w:p>
    <w:p w14:paraId="05661B9F" w14:textId="42C795AC" w:rsidR="00276801" w:rsidRPr="002C09C1" w:rsidRDefault="00C25D48" w:rsidP="00F20F59">
      <w:pPr>
        <w:pStyle w:val="Title3"/>
      </w:pPr>
      <w:r>
        <w:t>Documentos de código [1] de [9]</w:t>
      </w:r>
    </w:p>
    <w:p w14:paraId="393E5171" w14:textId="304CF16E" w:rsidR="00276801" w:rsidRPr="002C09C1" w:rsidRDefault="00276801" w:rsidP="00F20F59">
      <w:pPr>
        <w:pStyle w:val="Title3"/>
        <w:rPr>
          <w:lang w:val="fr-BE"/>
        </w:rPr>
      </w:pPr>
    </w:p>
    <w:p w14:paraId="26C73C1C" w14:textId="7DC5B555" w:rsidR="009F375B" w:rsidRPr="002C09C1" w:rsidRDefault="00A31871" w:rsidP="00F20F59">
      <w:pPr>
        <w:pStyle w:val="Title3"/>
      </w:pPr>
      <w:r>
        <w:t>Versão 0.9</w:t>
      </w:r>
    </w:p>
    <w:p w14:paraId="4459D2C4" w14:textId="6EC89B2F" w:rsidR="009F375B" w:rsidRPr="002C09C1" w:rsidRDefault="009F375B">
      <w:pPr>
        <w:rPr>
          <w:lang w:val="fr-BE"/>
        </w:rPr>
      </w:pPr>
    </w:p>
    <w:p w14:paraId="44F785D1" w14:textId="05BE6FB0" w:rsidR="009F375B" w:rsidRPr="002C09C1" w:rsidRDefault="00C25D48" w:rsidP="00F20F59">
      <w:pPr>
        <w:pStyle w:val="Title3"/>
      </w:pPr>
      <w:r>
        <w:t>[Fevereiro de 2022]</w:t>
      </w:r>
    </w:p>
    <w:p w14:paraId="66D569E1" w14:textId="7184BD3F" w:rsidR="006F29D1" w:rsidRPr="002C09C1" w:rsidRDefault="00D66DAB">
      <w:r>
        <w:t xml:space="preserve">  </w:t>
      </w:r>
    </w:p>
    <w:p w14:paraId="244BDD78" w14:textId="0803ED2F" w:rsidR="006F29D1" w:rsidRPr="002C09C1" w:rsidRDefault="00C2263D">
      <w:r>
        <w:t xml:space="preserve">    </w:t>
      </w:r>
    </w:p>
    <w:p w14:paraId="0D7BFA52" w14:textId="790B1499" w:rsidR="00F20F59" w:rsidRPr="002C09C1" w:rsidRDefault="00F20F59">
      <w:pPr>
        <w:rPr>
          <w:lang w:val="fr-BE"/>
        </w:rPr>
      </w:pPr>
    </w:p>
    <w:p w14:paraId="683ED854" w14:textId="7BF81C49" w:rsidR="00F20F59" w:rsidRPr="002C09C1" w:rsidRDefault="00F20F59">
      <w:pPr>
        <w:rPr>
          <w:lang w:val="fr-BE"/>
        </w:rPr>
      </w:pPr>
    </w:p>
    <w:p w14:paraId="4DFE05BA" w14:textId="131A6A86" w:rsidR="00F20F59" w:rsidRPr="002C09C1" w:rsidRDefault="00004697" w:rsidP="00C51E1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0B687C" wp14:editId="68CD5C29">
                <wp:simplePos x="0" y="0"/>
                <wp:positionH relativeFrom="column">
                  <wp:posOffset>1724025</wp:posOffset>
                </wp:positionH>
                <wp:positionV relativeFrom="paragraph">
                  <wp:posOffset>8890</wp:posOffset>
                </wp:positionV>
                <wp:extent cx="2352675" cy="110490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2675" cy="1104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0392B7" w14:textId="1F780681" w:rsidR="00BC37DC" w:rsidRPr="002C09C1" w:rsidRDefault="00BC37DC" w:rsidP="00004697">
                            <w:pPr>
                              <w:jc w:val="center"/>
                            </w:pPr>
                            <w:r>
                              <w:t>Para pedidos de esclarecimentos:</w:t>
                            </w:r>
                            <w:r>
                              <w:br/>
                              <w:t xml:space="preserve">RERA (SARERA), </w:t>
                            </w:r>
                          </w:p>
                          <w:p w14:paraId="358E6FCD" w14:textId="451B3715" w:rsidR="00BC37DC" w:rsidRPr="002C09C1" w:rsidRDefault="00BC37DC" w:rsidP="00004697">
                            <w:pPr>
                              <w:jc w:val="center"/>
                            </w:pPr>
                            <w:r>
                              <w:t xml:space="preserve">Telefone: </w:t>
                            </w:r>
                          </w:p>
                          <w:p w14:paraId="3463EC0E" w14:textId="056618F3" w:rsidR="00BC37DC" w:rsidRPr="002C09C1" w:rsidRDefault="00BC37DC" w:rsidP="00004697">
                            <w:pPr>
                              <w:jc w:val="center"/>
                            </w:pPr>
                            <w:r>
                              <w:t>E-mail: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B687C" id="Rectangle 2" o:spid="_x0000_s1026" style="position:absolute;left:0;text-align:left;margin-left:135.75pt;margin-top:.7pt;width:185.25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" fillcolor="white [3201]" strokecolor="#f79646 [3209]" strokeweight="2pt">
                <v:path arrowok="t"/>
                <v:textbox>
                  <w:txbxContent>
                    <w:p w14:paraId="220392B7" w14:textId="1F780681" w:rsidR="00BC37DC" w:rsidRPr="002C09C1" w:rsidRDefault="00BC37DC" w:rsidP="00004697">
                      <w:pPr>
                        <w:jc w:val="center"/>
                      </w:pPr>
                      <w:r>
                        <w:t>Para pedidos de esclarecimentos:</w:t>
                      </w:r>
                      <w:r>
                        <w:br/>
                        <w:t xml:space="preserve">RERA (SARERA), </w:t>
                      </w:r>
                    </w:p>
                    <w:p w14:paraId="358E6FCD" w14:textId="451B3715" w:rsidR="00BC37DC" w:rsidRPr="002C09C1" w:rsidRDefault="00BC37DC" w:rsidP="00004697">
                      <w:pPr>
                        <w:jc w:val="center"/>
                      </w:pPr>
                      <w:r>
                        <w:t xml:space="preserve">Telefone: </w:t>
                      </w:r>
                    </w:p>
                    <w:p w14:paraId="3463EC0E" w14:textId="056618F3" w:rsidR="00BC37DC" w:rsidRPr="002C09C1" w:rsidRDefault="00BC37DC" w:rsidP="00004697">
                      <w:pPr>
                        <w:jc w:val="center"/>
                      </w:pPr>
                      <w:r>
                        <w:t>E-mail:</w:t>
                      </w:r>
                    </w:p>
                  </w:txbxContent>
                </v:textbox>
              </v:rect>
            </w:pict>
          </mc:Fallback>
        </mc:AlternateContent>
      </w:r>
    </w:p>
    <w:p w14:paraId="252E8A09" w14:textId="5E167686" w:rsidR="00F20F59" w:rsidRPr="002C09C1" w:rsidRDefault="00F20F59">
      <w:pPr>
        <w:rPr>
          <w:lang w:val="fr-BE"/>
        </w:rPr>
      </w:pPr>
    </w:p>
    <w:p w14:paraId="05725078" w14:textId="4111A0D3" w:rsidR="00F20F59" w:rsidRPr="002C09C1" w:rsidRDefault="00F20F59">
      <w:pPr>
        <w:rPr>
          <w:lang w:val="fr-BE"/>
        </w:rPr>
      </w:pPr>
    </w:p>
    <w:p w14:paraId="0D85ACDE" w14:textId="30F5C532" w:rsidR="00F20F59" w:rsidRPr="002C09C1" w:rsidRDefault="00F20F59">
      <w:pPr>
        <w:rPr>
          <w:lang w:val="fr-BE"/>
        </w:rPr>
      </w:pPr>
    </w:p>
    <w:p w14:paraId="5C4566A3" w14:textId="115DB837" w:rsidR="00F20F59" w:rsidRPr="002C09C1" w:rsidRDefault="00F20F59">
      <w:pPr>
        <w:rPr>
          <w:lang w:val="fr-BE"/>
        </w:rPr>
      </w:pPr>
    </w:p>
    <w:p w14:paraId="6D7F5893" w14:textId="3882768D" w:rsidR="00F20F59" w:rsidRPr="002C09C1" w:rsidRDefault="00F20F59">
      <w:pPr>
        <w:rPr>
          <w:lang w:val="fr-BE"/>
        </w:rPr>
      </w:pPr>
    </w:p>
    <w:p w14:paraId="4975E5AE" w14:textId="11C7A578" w:rsidR="009F375B" w:rsidRPr="002C09C1" w:rsidRDefault="009F375B">
      <w:pPr>
        <w:rPr>
          <w:lang w:val="fr-BE"/>
        </w:rPr>
      </w:pPr>
    </w:p>
    <w:p w14:paraId="2400E2D9" w14:textId="380B6E73" w:rsidR="00004697" w:rsidRPr="002C09C1" w:rsidRDefault="00004697" w:rsidP="00004697">
      <w:pPr>
        <w:rPr>
          <w:lang w:val="fr-BE"/>
        </w:rPr>
      </w:pPr>
    </w:p>
    <w:p w14:paraId="4AF91BCD" w14:textId="77F87A3F" w:rsidR="009F375B" w:rsidRPr="002C09C1" w:rsidRDefault="009F375B">
      <w:pPr>
        <w:rPr>
          <w:lang w:val="fr-BE"/>
        </w:rPr>
      </w:pPr>
    </w:p>
    <w:p w14:paraId="31B36B6C" w14:textId="5333F105" w:rsidR="00A31871" w:rsidRPr="002C09C1" w:rsidRDefault="009F375B" w:rsidP="00666549">
      <w:r>
        <w:br w:type="page"/>
      </w:r>
    </w:p>
    <w:p w14:paraId="337D863C" w14:textId="74007EAE" w:rsidR="002D41F0" w:rsidRDefault="002D41F0" w:rsidP="002D41F0">
      <w:pPr>
        <w:spacing w:line="360" w:lineRule="auto"/>
      </w:pPr>
      <w:r>
        <w:lastRenderedPageBreak/>
        <w:t>Controlo da versão</w:t>
      </w:r>
    </w:p>
    <w:p w14:paraId="719369AF" w14:textId="3D5A2BF3" w:rsidR="002D41F0" w:rsidRDefault="002D41F0" w:rsidP="002D41F0">
      <w:pPr>
        <w:spacing w:line="360" w:lineRule="auto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42"/>
        <w:gridCol w:w="4549"/>
        <w:gridCol w:w="2051"/>
      </w:tblGrid>
      <w:tr w:rsidR="002D41F0" w:rsidRPr="00A75FBB" w14:paraId="235687B7" w14:textId="77777777" w:rsidTr="00C300CF">
        <w:trPr>
          <w:trHeight w:val="576"/>
        </w:trPr>
        <w:tc>
          <w:tcPr>
            <w:tcW w:w="8856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F4A6020" w14:textId="16D81626" w:rsidR="002D41F0" w:rsidRPr="00A75FBB" w:rsidRDefault="00987602" w:rsidP="002D41F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4" behindDoc="0" locked="0" layoutInCell="1" allowOverlap="1" wp14:anchorId="776C9EED" wp14:editId="7D66B3A8">
                  <wp:simplePos x="0" y="0"/>
                  <wp:positionH relativeFrom="column">
                    <wp:posOffset>2915920</wp:posOffset>
                  </wp:positionH>
                  <wp:positionV relativeFrom="paragraph">
                    <wp:posOffset>105751</wp:posOffset>
                  </wp:positionV>
                  <wp:extent cx="2428695" cy="518719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695" cy="518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3" behindDoc="0" locked="0" layoutInCell="1" allowOverlap="1" wp14:anchorId="6B31F611" wp14:editId="4C6298FC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58420</wp:posOffset>
                  </wp:positionV>
                  <wp:extent cx="1849120" cy="615950"/>
                  <wp:effectExtent l="0" t="0" r="0" b="0"/>
                  <wp:wrapTopAndBottom/>
                  <wp:docPr id="5" name="Picture 5" descr="RER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ER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912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D41F0" w:rsidRPr="00A75FBB" w14:paraId="52530A33" w14:textId="77777777" w:rsidTr="00C300CF">
        <w:trPr>
          <w:trHeight w:val="576"/>
        </w:trPr>
        <w:tc>
          <w:tcPr>
            <w:tcW w:w="2065" w:type="dxa"/>
            <w:tcBorders>
              <w:top w:val="double" w:sz="4" w:space="0" w:color="auto"/>
              <w:left w:val="double" w:sz="4" w:space="0" w:color="auto"/>
            </w:tcBorders>
          </w:tcPr>
          <w:p w14:paraId="49A13406" w14:textId="77777777" w:rsidR="002D41F0" w:rsidRPr="00A75FBB" w:rsidRDefault="002D41F0" w:rsidP="00C300CF">
            <w:r>
              <w:t>Documentar #</w:t>
            </w:r>
          </w:p>
          <w:p w14:paraId="48559B07" w14:textId="77777777" w:rsidR="002D41F0" w:rsidRPr="00A75FBB" w:rsidRDefault="002D41F0" w:rsidP="00C300CF">
            <w:pPr>
              <w:rPr>
                <w:b/>
              </w:rPr>
            </w:pPr>
          </w:p>
        </w:tc>
        <w:tc>
          <w:tcPr>
            <w:tcW w:w="4703" w:type="dxa"/>
            <w:tcBorders>
              <w:top w:val="double" w:sz="4" w:space="0" w:color="auto"/>
            </w:tcBorders>
          </w:tcPr>
          <w:p w14:paraId="17293503" w14:textId="5A1AB221" w:rsidR="002D41F0" w:rsidRPr="00A75FBB" w:rsidRDefault="002D41F0" w:rsidP="00C300CF">
            <w:pPr>
              <w:tabs>
                <w:tab w:val="left" w:pos="3235"/>
              </w:tabs>
              <w:ind w:left="720" w:hanging="720"/>
              <w:rPr>
                <w:b/>
                <w:sz w:val="28"/>
              </w:rPr>
            </w:pPr>
            <w:r>
              <w:t>Título:</w:t>
            </w:r>
            <w:r>
              <w:rPr>
                <w:sz w:val="28"/>
              </w:rPr>
              <w:tab/>
            </w:r>
          </w:p>
          <w:p w14:paraId="22E362EC" w14:textId="6D0B840E" w:rsidR="002D41F0" w:rsidRPr="004C0E79" w:rsidRDefault="00987602" w:rsidP="00C300CF">
            <w:pPr>
              <w:tabs>
                <w:tab w:val="left" w:pos="3235"/>
              </w:tabs>
              <w:ind w:left="5" w:hanging="5"/>
              <w:rPr>
                <w:b/>
              </w:rPr>
            </w:pPr>
            <w:r>
              <w:rPr>
                <w:b/>
              </w:rPr>
              <w:t>Código da rede regional da SADC</w:t>
            </w:r>
          </w:p>
          <w:p w14:paraId="0856BF5F" w14:textId="34035709" w:rsidR="002D41F0" w:rsidRPr="00A75FBB" w:rsidRDefault="008817C5" w:rsidP="00C300CF">
            <w:pPr>
              <w:tabs>
                <w:tab w:val="left" w:pos="3235"/>
              </w:tabs>
              <w:ind w:left="5" w:hanging="5"/>
              <w:rPr>
                <w:b/>
              </w:rPr>
            </w:pPr>
            <w:r>
              <w:rPr>
                <w:b/>
              </w:rPr>
              <w:t>Preâmbulo</w:t>
            </w:r>
          </w:p>
        </w:tc>
        <w:tc>
          <w:tcPr>
            <w:tcW w:w="2088" w:type="dxa"/>
            <w:tcBorders>
              <w:top w:val="double" w:sz="4" w:space="0" w:color="auto"/>
              <w:right w:val="double" w:sz="4" w:space="0" w:color="auto"/>
            </w:tcBorders>
          </w:tcPr>
          <w:p w14:paraId="02F84581" w14:textId="77777777" w:rsidR="002D41F0" w:rsidRPr="00A75FBB" w:rsidRDefault="002D41F0" w:rsidP="00C300CF">
            <w:r>
              <w:t>Data de impressão</w:t>
            </w:r>
          </w:p>
          <w:p w14:paraId="098F1CDD" w14:textId="77777777" w:rsidR="002D41F0" w:rsidRPr="00A75FBB" w:rsidRDefault="002D41F0" w:rsidP="00C300CF">
            <w:pPr>
              <w:rPr>
                <w:b/>
              </w:rPr>
            </w:pPr>
            <w:r>
              <w:rPr>
                <w:b/>
              </w:rPr>
              <w:t>[Data]</w:t>
            </w:r>
          </w:p>
        </w:tc>
      </w:tr>
      <w:tr w:rsidR="002D41F0" w:rsidRPr="00A75FBB" w14:paraId="4F11CAF2" w14:textId="77777777" w:rsidTr="00C300CF">
        <w:trPr>
          <w:trHeight w:val="432"/>
        </w:trPr>
        <w:tc>
          <w:tcPr>
            <w:tcW w:w="2065" w:type="dxa"/>
            <w:tcBorders>
              <w:left w:val="double" w:sz="4" w:space="0" w:color="auto"/>
            </w:tcBorders>
          </w:tcPr>
          <w:p w14:paraId="56BB3509" w14:textId="77777777" w:rsidR="002D41F0" w:rsidRPr="00A75FBB" w:rsidRDefault="002D41F0" w:rsidP="00C300CF">
            <w:r>
              <w:t>Revisão #</w:t>
            </w:r>
          </w:p>
          <w:p w14:paraId="66EE881D" w14:textId="3375C134" w:rsidR="002D41F0" w:rsidRPr="00A75FBB" w:rsidRDefault="002D41F0" w:rsidP="002D41F0">
            <w:pPr>
              <w:rPr>
                <w:b/>
              </w:rPr>
            </w:pPr>
            <w:r>
              <w:rPr>
                <w:b/>
              </w:rPr>
              <w:t>0.9 Texto-projecto</w:t>
            </w:r>
          </w:p>
        </w:tc>
        <w:tc>
          <w:tcPr>
            <w:tcW w:w="4703" w:type="dxa"/>
          </w:tcPr>
          <w:p w14:paraId="67E8A550" w14:textId="77777777" w:rsidR="002D41F0" w:rsidRPr="009E7129" w:rsidRDefault="002D41F0" w:rsidP="00C300CF">
            <w:pPr>
              <w:pStyle w:val="EnvelopeReturn"/>
              <w:spacing w:after="0"/>
              <w:rPr>
                <w:rFonts w:cs="Arial"/>
              </w:rPr>
            </w:pPr>
            <w:r>
              <w:t>Elaborado por:</w:t>
            </w:r>
          </w:p>
          <w:p w14:paraId="05EC2BD2" w14:textId="4781B24B" w:rsidR="00C25D48" w:rsidRDefault="008E1DCB" w:rsidP="00C300CF">
            <w:pPr>
              <w:pStyle w:val="EnvelopeReturn"/>
              <w:spacing w:after="0"/>
              <w:rPr>
                <w:rFonts w:cs="Arial"/>
                <w:b/>
              </w:rPr>
            </w:pPr>
            <w:proofErr w:type="spellStart"/>
            <w:r>
              <w:rPr>
                <w:b/>
              </w:rPr>
              <w:t>Sepideh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Kiarsi</w:t>
            </w:r>
            <w:proofErr w:type="spellEnd"/>
          </w:p>
          <w:p w14:paraId="631AD3AA" w14:textId="0D36AF35" w:rsidR="002D41F0" w:rsidRPr="00A75FBB" w:rsidRDefault="00704889" w:rsidP="00C300CF">
            <w:pPr>
              <w:pStyle w:val="EnvelopeReturn"/>
              <w:spacing w:after="0"/>
              <w:rPr>
                <w:rFonts w:ascii="Times New Roman" w:hAnsi="Times New Roman"/>
                <w:b/>
              </w:rPr>
            </w:pPr>
            <w:r>
              <w:rPr>
                <w:b/>
              </w:rPr>
              <w:t xml:space="preserve">Ricardo </w:t>
            </w:r>
            <w:proofErr w:type="spellStart"/>
            <w:r>
              <w:rPr>
                <w:b/>
              </w:rPr>
              <w:t>Energy</w:t>
            </w:r>
            <w:proofErr w:type="spellEnd"/>
            <w:r>
              <w:rPr>
                <w:b/>
              </w:rPr>
              <w:t xml:space="preserve"> &amp; </w:t>
            </w:r>
            <w:proofErr w:type="spellStart"/>
            <w:r>
              <w:rPr>
                <w:b/>
              </w:rPr>
              <w:t>Environment</w:t>
            </w:r>
            <w:proofErr w:type="spellEnd"/>
          </w:p>
        </w:tc>
        <w:tc>
          <w:tcPr>
            <w:tcW w:w="2088" w:type="dxa"/>
            <w:tcBorders>
              <w:right w:val="double" w:sz="4" w:space="0" w:color="auto"/>
            </w:tcBorders>
          </w:tcPr>
          <w:p w14:paraId="1737064A" w14:textId="77777777" w:rsidR="002D41F0" w:rsidRDefault="002D41F0" w:rsidP="00C300CF">
            <w:r>
              <w:t xml:space="preserve">Data de elaboração: </w:t>
            </w:r>
          </w:p>
          <w:p w14:paraId="34F8FD14" w14:textId="55A1CF3F" w:rsidR="002D41F0" w:rsidRPr="00A75FBB" w:rsidRDefault="008E1DCB" w:rsidP="00C300CF">
            <w:r>
              <w:rPr>
                <w:b/>
              </w:rPr>
              <w:t>04/02/2022</w:t>
            </w:r>
          </w:p>
        </w:tc>
      </w:tr>
      <w:tr w:rsidR="002D41F0" w:rsidRPr="00A75FBB" w14:paraId="51A5FAEA" w14:textId="77777777" w:rsidTr="00C300CF">
        <w:trPr>
          <w:trHeight w:val="432"/>
        </w:trPr>
        <w:tc>
          <w:tcPr>
            <w:tcW w:w="2065" w:type="dxa"/>
            <w:tcBorders>
              <w:left w:val="double" w:sz="4" w:space="0" w:color="auto"/>
              <w:bottom w:val="single" w:sz="8" w:space="0" w:color="auto"/>
            </w:tcBorders>
          </w:tcPr>
          <w:p w14:paraId="78A38838" w14:textId="77777777" w:rsidR="002D41F0" w:rsidRPr="00A75FBB" w:rsidRDefault="002D41F0" w:rsidP="00C300CF">
            <w:r>
              <w:t>Data de entrada em vigor:</w:t>
            </w:r>
          </w:p>
          <w:p w14:paraId="34ADB22C" w14:textId="77777777" w:rsidR="002D41F0" w:rsidRPr="00A75FBB" w:rsidRDefault="002D41F0" w:rsidP="00C300CF">
            <w:pPr>
              <w:rPr>
                <w:b/>
              </w:rPr>
            </w:pPr>
            <w:r>
              <w:rPr>
                <w:b/>
              </w:rPr>
              <w:t>[Data]</w:t>
            </w:r>
          </w:p>
        </w:tc>
        <w:tc>
          <w:tcPr>
            <w:tcW w:w="4703" w:type="dxa"/>
            <w:tcBorders>
              <w:bottom w:val="single" w:sz="8" w:space="0" w:color="auto"/>
            </w:tcBorders>
          </w:tcPr>
          <w:p w14:paraId="06991622" w14:textId="47B91165" w:rsidR="002D41F0" w:rsidRDefault="002D41F0" w:rsidP="00C300CF">
            <w:r>
              <w:t>Revisão por:</w:t>
            </w:r>
          </w:p>
          <w:p w14:paraId="21DD245D" w14:textId="16B431C9" w:rsidR="008E1DCB" w:rsidRPr="002C09C1" w:rsidRDefault="008E1DCB" w:rsidP="00C300C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Claire</w:t>
            </w:r>
            <w:proofErr w:type="spellEnd"/>
            <w:r>
              <w:rPr>
                <w:b/>
                <w:bCs/>
              </w:rPr>
              <w:t xml:space="preserve"> Newton</w:t>
            </w:r>
          </w:p>
          <w:p w14:paraId="39F2C927" w14:textId="4091CC66" w:rsidR="002D41F0" w:rsidRPr="00A75FBB" w:rsidRDefault="008E1DCB" w:rsidP="00C300CF">
            <w:pPr>
              <w:rPr>
                <w:b/>
              </w:rPr>
            </w:pPr>
            <w:r>
              <w:rPr>
                <w:b/>
              </w:rPr>
              <w:t xml:space="preserve">Ricardo </w:t>
            </w:r>
            <w:proofErr w:type="spellStart"/>
            <w:r>
              <w:rPr>
                <w:b/>
              </w:rPr>
              <w:t>Energy</w:t>
            </w:r>
            <w:proofErr w:type="spellEnd"/>
            <w:r>
              <w:rPr>
                <w:b/>
              </w:rPr>
              <w:t xml:space="preserve"> &amp; </w:t>
            </w:r>
            <w:proofErr w:type="spellStart"/>
            <w:r>
              <w:rPr>
                <w:b/>
              </w:rPr>
              <w:t>Environment</w:t>
            </w:r>
            <w:proofErr w:type="spellEnd"/>
          </w:p>
        </w:tc>
        <w:tc>
          <w:tcPr>
            <w:tcW w:w="2088" w:type="dxa"/>
            <w:tcBorders>
              <w:bottom w:val="single" w:sz="8" w:space="0" w:color="auto"/>
              <w:right w:val="double" w:sz="4" w:space="0" w:color="auto"/>
            </w:tcBorders>
          </w:tcPr>
          <w:p w14:paraId="321BBCDA" w14:textId="77777777" w:rsidR="002D41F0" w:rsidRPr="00A75FBB" w:rsidRDefault="002D41F0" w:rsidP="00C300CF">
            <w:r>
              <w:t>Data da revisão:</w:t>
            </w:r>
          </w:p>
          <w:p w14:paraId="6D28CF4F" w14:textId="345B43B1" w:rsidR="002D41F0" w:rsidRPr="00A75FBB" w:rsidRDefault="008E1DCB" w:rsidP="00C300CF">
            <w:pPr>
              <w:rPr>
                <w:b/>
              </w:rPr>
            </w:pPr>
            <w:r>
              <w:rPr>
                <w:b/>
              </w:rPr>
              <w:t>11/02/2022</w:t>
            </w:r>
          </w:p>
        </w:tc>
      </w:tr>
      <w:tr w:rsidR="002D41F0" w:rsidRPr="00A75FBB" w14:paraId="12F2EDE4" w14:textId="77777777" w:rsidTr="00C300CF">
        <w:trPr>
          <w:trHeight w:val="432"/>
        </w:trPr>
        <w:tc>
          <w:tcPr>
            <w:tcW w:w="2065" w:type="dxa"/>
            <w:tcBorders>
              <w:left w:val="double" w:sz="4" w:space="0" w:color="auto"/>
              <w:bottom w:val="double" w:sz="4" w:space="0" w:color="auto"/>
            </w:tcBorders>
          </w:tcPr>
          <w:p w14:paraId="6797CE87" w14:textId="77777777" w:rsidR="002D41F0" w:rsidRPr="00A75FBB" w:rsidRDefault="002D41F0" w:rsidP="00C300CF">
            <w:r>
              <w:t>Padrão:</w:t>
            </w:r>
          </w:p>
          <w:p w14:paraId="45DB03FC" w14:textId="7B7E3AB7" w:rsidR="002D41F0" w:rsidRPr="00A75FBB" w:rsidRDefault="002D41F0" w:rsidP="00C300CF">
            <w:r>
              <w:rPr>
                <w:b/>
              </w:rPr>
              <w:t>Regulamento</w:t>
            </w:r>
          </w:p>
        </w:tc>
        <w:tc>
          <w:tcPr>
            <w:tcW w:w="4703" w:type="dxa"/>
            <w:tcBorders>
              <w:bottom w:val="double" w:sz="4" w:space="0" w:color="auto"/>
            </w:tcBorders>
          </w:tcPr>
          <w:p w14:paraId="7E34A672" w14:textId="77777777" w:rsidR="002D41F0" w:rsidRPr="00A75FBB" w:rsidRDefault="002D41F0" w:rsidP="00C300CF">
            <w:r>
              <w:t>Aprovado por:</w:t>
            </w:r>
          </w:p>
          <w:p w14:paraId="44E263B1" w14:textId="77777777" w:rsidR="002D41F0" w:rsidRPr="00E22EF9" w:rsidRDefault="002D41F0" w:rsidP="00C300CF">
            <w:pPr>
              <w:rPr>
                <w:b/>
              </w:rPr>
            </w:pPr>
            <w:r>
              <w:rPr>
                <w:b/>
              </w:rPr>
              <w:t>[Nome do autorizador]</w:t>
            </w:r>
          </w:p>
        </w:tc>
        <w:tc>
          <w:tcPr>
            <w:tcW w:w="2088" w:type="dxa"/>
            <w:tcBorders>
              <w:bottom w:val="double" w:sz="4" w:space="0" w:color="auto"/>
              <w:right w:val="double" w:sz="4" w:space="0" w:color="auto"/>
            </w:tcBorders>
          </w:tcPr>
          <w:p w14:paraId="3C1755F1" w14:textId="77777777" w:rsidR="002D41F0" w:rsidRPr="00A75FBB" w:rsidRDefault="002D41F0" w:rsidP="00C300CF">
            <w:r>
              <w:t>Data de aprovação:</w:t>
            </w:r>
          </w:p>
          <w:p w14:paraId="6648D3D1" w14:textId="77777777" w:rsidR="002D41F0" w:rsidRPr="00A75FBB" w:rsidRDefault="002D41F0" w:rsidP="00C300CF">
            <w:pPr>
              <w:rPr>
                <w:b/>
              </w:rPr>
            </w:pPr>
            <w:r>
              <w:rPr>
                <w:b/>
              </w:rPr>
              <w:t>[Data]</w:t>
            </w:r>
          </w:p>
        </w:tc>
      </w:tr>
    </w:tbl>
    <w:p w14:paraId="0C9D0C10" w14:textId="77777777" w:rsidR="002D41F0" w:rsidRDefault="002D41F0" w:rsidP="002D41F0">
      <w:pPr>
        <w:spacing w:before="240" w:after="240"/>
        <w:ind w:left="1440" w:hanging="1440"/>
        <w:rPr>
          <w:bCs/>
        </w:rPr>
      </w:pPr>
    </w:p>
    <w:p w14:paraId="7FE4792E" w14:textId="0E0F5D01" w:rsidR="002D41F0" w:rsidRDefault="002D41F0" w:rsidP="002D41F0">
      <w:pPr>
        <w:spacing w:line="360" w:lineRule="auto"/>
      </w:pPr>
    </w:p>
    <w:p w14:paraId="1BAD04F2" w14:textId="77777777" w:rsidR="00C25D48" w:rsidRDefault="00C25D48" w:rsidP="00C25D48">
      <w:r>
        <w:t>Emendas desde a publicação [para uso futuro]:</w:t>
      </w: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1124"/>
        <w:gridCol w:w="1244"/>
        <w:gridCol w:w="6304"/>
      </w:tblGrid>
      <w:tr w:rsidR="00C25D48" w14:paraId="23219018" w14:textId="77777777" w:rsidTr="00DA5B6C">
        <w:tc>
          <w:tcPr>
            <w:tcW w:w="1134" w:type="dxa"/>
          </w:tcPr>
          <w:p w14:paraId="57A369BE" w14:textId="77777777" w:rsidR="00C25D48" w:rsidRPr="003F524B" w:rsidRDefault="00C25D48" w:rsidP="00DA5B6C">
            <w:pPr>
              <w:rPr>
                <w:b/>
                <w:bCs/>
              </w:rPr>
            </w:pPr>
            <w:r>
              <w:rPr>
                <w:b/>
                <w:bCs/>
              </w:rPr>
              <w:t>Versão</w:t>
            </w:r>
          </w:p>
        </w:tc>
        <w:tc>
          <w:tcPr>
            <w:tcW w:w="1276" w:type="dxa"/>
          </w:tcPr>
          <w:p w14:paraId="331C6FD9" w14:textId="77777777" w:rsidR="00C25D48" w:rsidRPr="003F524B" w:rsidRDefault="00C25D48" w:rsidP="00DA5B6C">
            <w:pPr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6606" w:type="dxa"/>
          </w:tcPr>
          <w:p w14:paraId="64FB98CB" w14:textId="77777777" w:rsidR="00C25D48" w:rsidRPr="00C750AE" w:rsidRDefault="00C25D48" w:rsidP="00DA5B6C">
            <w:pPr>
              <w:rPr>
                <w:b/>
                <w:bCs/>
              </w:rPr>
            </w:pPr>
            <w:r>
              <w:rPr>
                <w:b/>
                <w:bCs/>
              </w:rPr>
              <w:t>Emenda</w:t>
            </w:r>
          </w:p>
        </w:tc>
      </w:tr>
      <w:tr w:rsidR="00C25D48" w14:paraId="3B22FC4D" w14:textId="77777777" w:rsidTr="00DA5B6C">
        <w:tc>
          <w:tcPr>
            <w:tcW w:w="1134" w:type="dxa"/>
          </w:tcPr>
          <w:p w14:paraId="59A1B538" w14:textId="77777777" w:rsidR="00C25D48" w:rsidRDefault="00C25D48" w:rsidP="00DA5B6C"/>
        </w:tc>
        <w:tc>
          <w:tcPr>
            <w:tcW w:w="1276" w:type="dxa"/>
          </w:tcPr>
          <w:p w14:paraId="2BB210A5" w14:textId="77777777" w:rsidR="00C25D48" w:rsidRDefault="00C25D48" w:rsidP="00DA5B6C"/>
        </w:tc>
        <w:tc>
          <w:tcPr>
            <w:tcW w:w="6606" w:type="dxa"/>
          </w:tcPr>
          <w:p w14:paraId="6935419C" w14:textId="77777777" w:rsidR="00C25D48" w:rsidRDefault="00C25D48" w:rsidP="00DA5B6C"/>
        </w:tc>
      </w:tr>
      <w:tr w:rsidR="00C25D48" w14:paraId="1CD907D4" w14:textId="77777777" w:rsidTr="00DA5B6C">
        <w:tc>
          <w:tcPr>
            <w:tcW w:w="1134" w:type="dxa"/>
          </w:tcPr>
          <w:p w14:paraId="4835EEC3" w14:textId="77777777" w:rsidR="00C25D48" w:rsidRDefault="00C25D48" w:rsidP="00DA5B6C"/>
        </w:tc>
        <w:tc>
          <w:tcPr>
            <w:tcW w:w="1276" w:type="dxa"/>
          </w:tcPr>
          <w:p w14:paraId="5815920B" w14:textId="77777777" w:rsidR="00C25D48" w:rsidRDefault="00C25D48" w:rsidP="00DA5B6C"/>
        </w:tc>
        <w:tc>
          <w:tcPr>
            <w:tcW w:w="6606" w:type="dxa"/>
          </w:tcPr>
          <w:p w14:paraId="4E909CB7" w14:textId="77777777" w:rsidR="00C25D48" w:rsidRDefault="00C25D48" w:rsidP="00DA5B6C"/>
        </w:tc>
      </w:tr>
      <w:tr w:rsidR="00C25D48" w14:paraId="0882948C" w14:textId="77777777" w:rsidTr="00DA5B6C">
        <w:tc>
          <w:tcPr>
            <w:tcW w:w="1134" w:type="dxa"/>
          </w:tcPr>
          <w:p w14:paraId="4D0E0058" w14:textId="77777777" w:rsidR="00C25D48" w:rsidRDefault="00C25D48" w:rsidP="00DA5B6C"/>
        </w:tc>
        <w:tc>
          <w:tcPr>
            <w:tcW w:w="1276" w:type="dxa"/>
          </w:tcPr>
          <w:p w14:paraId="2D300FE1" w14:textId="77777777" w:rsidR="00C25D48" w:rsidRDefault="00C25D48" w:rsidP="00DA5B6C"/>
        </w:tc>
        <w:tc>
          <w:tcPr>
            <w:tcW w:w="6606" w:type="dxa"/>
          </w:tcPr>
          <w:p w14:paraId="27DDF166" w14:textId="77777777" w:rsidR="00C25D48" w:rsidRDefault="00C25D48" w:rsidP="00DA5B6C"/>
        </w:tc>
      </w:tr>
      <w:tr w:rsidR="00C25D48" w14:paraId="1B97FA0D" w14:textId="77777777" w:rsidTr="00DA5B6C">
        <w:tc>
          <w:tcPr>
            <w:tcW w:w="1134" w:type="dxa"/>
          </w:tcPr>
          <w:p w14:paraId="14898512" w14:textId="77777777" w:rsidR="00C25D48" w:rsidRDefault="00C25D48" w:rsidP="00DA5B6C"/>
        </w:tc>
        <w:tc>
          <w:tcPr>
            <w:tcW w:w="1276" w:type="dxa"/>
          </w:tcPr>
          <w:p w14:paraId="7AC2BE94" w14:textId="77777777" w:rsidR="00C25D48" w:rsidRDefault="00C25D48" w:rsidP="00DA5B6C"/>
        </w:tc>
        <w:tc>
          <w:tcPr>
            <w:tcW w:w="6606" w:type="dxa"/>
          </w:tcPr>
          <w:p w14:paraId="1C163911" w14:textId="77777777" w:rsidR="00C25D48" w:rsidRDefault="00C25D48" w:rsidP="00DA5B6C"/>
        </w:tc>
      </w:tr>
      <w:tr w:rsidR="00C25D48" w14:paraId="386ECE9B" w14:textId="77777777" w:rsidTr="00DA5B6C">
        <w:tc>
          <w:tcPr>
            <w:tcW w:w="1134" w:type="dxa"/>
          </w:tcPr>
          <w:p w14:paraId="30607308" w14:textId="77777777" w:rsidR="00C25D48" w:rsidRDefault="00C25D48" w:rsidP="00DA5B6C"/>
        </w:tc>
        <w:tc>
          <w:tcPr>
            <w:tcW w:w="1276" w:type="dxa"/>
          </w:tcPr>
          <w:p w14:paraId="7F29B71E" w14:textId="77777777" w:rsidR="00C25D48" w:rsidRDefault="00C25D48" w:rsidP="00DA5B6C"/>
        </w:tc>
        <w:tc>
          <w:tcPr>
            <w:tcW w:w="6606" w:type="dxa"/>
          </w:tcPr>
          <w:p w14:paraId="7E630975" w14:textId="77777777" w:rsidR="00C25D48" w:rsidRDefault="00C25D48" w:rsidP="00DA5B6C"/>
        </w:tc>
      </w:tr>
      <w:tr w:rsidR="00C25D48" w14:paraId="23847B1A" w14:textId="77777777" w:rsidTr="00DA5B6C">
        <w:tc>
          <w:tcPr>
            <w:tcW w:w="1134" w:type="dxa"/>
          </w:tcPr>
          <w:p w14:paraId="0DF8E8F4" w14:textId="77777777" w:rsidR="00C25D48" w:rsidRDefault="00C25D48" w:rsidP="00DA5B6C"/>
        </w:tc>
        <w:tc>
          <w:tcPr>
            <w:tcW w:w="1276" w:type="dxa"/>
          </w:tcPr>
          <w:p w14:paraId="210D878C" w14:textId="77777777" w:rsidR="00C25D48" w:rsidRDefault="00C25D48" w:rsidP="00DA5B6C"/>
        </w:tc>
        <w:tc>
          <w:tcPr>
            <w:tcW w:w="6606" w:type="dxa"/>
          </w:tcPr>
          <w:p w14:paraId="1F15D476" w14:textId="77777777" w:rsidR="00C25D48" w:rsidRDefault="00C25D48" w:rsidP="00DA5B6C"/>
        </w:tc>
      </w:tr>
      <w:tr w:rsidR="00C25D48" w14:paraId="47A24DC1" w14:textId="77777777" w:rsidTr="00DA5B6C">
        <w:tc>
          <w:tcPr>
            <w:tcW w:w="1134" w:type="dxa"/>
          </w:tcPr>
          <w:p w14:paraId="2C734BD2" w14:textId="77777777" w:rsidR="00C25D48" w:rsidRDefault="00C25D48" w:rsidP="00DA5B6C"/>
        </w:tc>
        <w:tc>
          <w:tcPr>
            <w:tcW w:w="1276" w:type="dxa"/>
          </w:tcPr>
          <w:p w14:paraId="5E3073AE" w14:textId="77777777" w:rsidR="00C25D48" w:rsidRDefault="00C25D48" w:rsidP="00DA5B6C"/>
        </w:tc>
        <w:tc>
          <w:tcPr>
            <w:tcW w:w="6606" w:type="dxa"/>
          </w:tcPr>
          <w:p w14:paraId="03D2C37D" w14:textId="77777777" w:rsidR="00C25D48" w:rsidRDefault="00C25D48" w:rsidP="00DA5B6C"/>
        </w:tc>
      </w:tr>
    </w:tbl>
    <w:p w14:paraId="388DB98F" w14:textId="77777777" w:rsidR="00C25D48" w:rsidRDefault="00C25D48" w:rsidP="00C25D48"/>
    <w:p w14:paraId="301471A0" w14:textId="77777777" w:rsidR="00C25D48" w:rsidRDefault="00C25D48" w:rsidP="00C25D48">
      <w:r>
        <w:br w:type="page"/>
      </w:r>
    </w:p>
    <w:p w14:paraId="5F0F555C" w14:textId="54ACE5C6" w:rsidR="009F375B" w:rsidRPr="00980B05" w:rsidRDefault="00064DE6" w:rsidP="00666549">
      <w:pPr>
        <w:rPr>
          <w:rStyle w:val="TOCHeading1"/>
        </w:rPr>
      </w:pPr>
      <w:r>
        <w:rPr>
          <w:rStyle w:val="TOCHeading1"/>
        </w:rPr>
        <w:lastRenderedPageBreak/>
        <w:t>Índice</w:t>
      </w:r>
    </w:p>
    <w:p w14:paraId="5B11B5FA" w14:textId="52BF0599" w:rsidR="001821C7" w:rsidRDefault="00064DE6">
      <w:pPr>
        <w:pStyle w:val="TOC1"/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szCs w:val="22"/>
          <w:lang w:val="en-NA" w:eastAsia="en-NA"/>
        </w:rPr>
      </w:pPr>
      <w:r w:rsidRPr="00980B05">
        <w:fldChar w:fldCharType="begin"/>
      </w:r>
      <w:r w:rsidRPr="00980B05">
        <w:instrText xml:space="preserve"> TOC \o "1-2" </w:instrText>
      </w:r>
      <w:r w:rsidRPr="00980B05">
        <w:fldChar w:fldCharType="separate"/>
      </w:r>
      <w:r w:rsidR="001821C7">
        <w:rPr>
          <w:noProof/>
        </w:rPr>
        <w:t>P1.</w:t>
      </w:r>
      <w:r w:rsidR="001821C7"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szCs w:val="22"/>
          <w:lang w:val="en-NA" w:eastAsia="en-NA"/>
        </w:rPr>
        <w:tab/>
      </w:r>
      <w:r w:rsidR="001821C7">
        <w:rPr>
          <w:noProof/>
        </w:rPr>
        <w:t>Introdução</w:t>
      </w:r>
      <w:r w:rsidR="001821C7">
        <w:rPr>
          <w:noProof/>
        </w:rPr>
        <w:tab/>
      </w:r>
      <w:r w:rsidR="001821C7">
        <w:rPr>
          <w:noProof/>
        </w:rPr>
        <w:fldChar w:fldCharType="begin"/>
      </w:r>
      <w:r w:rsidR="001821C7">
        <w:rPr>
          <w:noProof/>
        </w:rPr>
        <w:instrText xml:space="preserve"> PAGEREF _Toc96841401 \h </w:instrText>
      </w:r>
      <w:r w:rsidR="001821C7">
        <w:rPr>
          <w:noProof/>
        </w:rPr>
      </w:r>
      <w:r w:rsidR="001821C7">
        <w:rPr>
          <w:noProof/>
        </w:rPr>
        <w:fldChar w:fldCharType="separate"/>
      </w:r>
      <w:r w:rsidR="001821C7">
        <w:rPr>
          <w:noProof/>
        </w:rPr>
        <w:t>5</w:t>
      </w:r>
      <w:r w:rsidR="001821C7">
        <w:rPr>
          <w:noProof/>
        </w:rPr>
        <w:fldChar w:fldCharType="end"/>
      </w:r>
    </w:p>
    <w:p w14:paraId="517F0D2A" w14:textId="06F15641" w:rsidR="001821C7" w:rsidRDefault="001821C7">
      <w:pPr>
        <w:pStyle w:val="TOC2"/>
        <w:rPr>
          <w:rFonts w:asciiTheme="minorHAnsi" w:eastAsiaTheme="minorEastAsia" w:hAnsiTheme="minorHAnsi" w:cstheme="minorBidi"/>
          <w:bCs w:val="0"/>
          <w:noProof/>
          <w:snapToGrid/>
          <w:lang w:val="en-NA" w:eastAsia="en-NA"/>
        </w:rPr>
      </w:pPr>
      <w:r>
        <w:rPr>
          <w:noProof/>
        </w:rPr>
        <w:t>P1.1</w:t>
      </w:r>
      <w:r>
        <w:rPr>
          <w:rFonts w:asciiTheme="minorHAnsi" w:eastAsiaTheme="minorEastAsia" w:hAnsiTheme="minorHAnsi" w:cstheme="minorBidi"/>
          <w:bCs w:val="0"/>
          <w:noProof/>
          <w:snapToGrid/>
          <w:lang w:val="en-NA" w:eastAsia="en-NA"/>
        </w:rPr>
        <w:tab/>
      </w:r>
      <w:r>
        <w:rPr>
          <w:noProof/>
        </w:rPr>
        <w:t>Disposições gerais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_Toc96841402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1228D9D4" w14:textId="4BF902F5" w:rsidR="001821C7" w:rsidRDefault="001821C7">
      <w:pPr>
        <w:pStyle w:val="TOC1"/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szCs w:val="22"/>
          <w:lang w:val="en-NA" w:eastAsia="en-NA"/>
        </w:rPr>
      </w:pPr>
      <w:r>
        <w:rPr>
          <w:noProof/>
        </w:rPr>
        <w:t>P2.</w:t>
      </w:r>
      <w:r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szCs w:val="22"/>
          <w:lang w:val="en-NA" w:eastAsia="en-NA"/>
        </w:rPr>
        <w:tab/>
      </w:r>
      <w:r>
        <w:rPr>
          <w:noProof/>
        </w:rPr>
        <w:t>Comércio regional de energia na região da SADC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_Toc96841403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4395E20" w14:textId="5966B6F5" w:rsidR="001821C7" w:rsidRDefault="001821C7">
      <w:pPr>
        <w:pStyle w:val="TOC2"/>
        <w:rPr>
          <w:rFonts w:asciiTheme="minorHAnsi" w:eastAsiaTheme="minorEastAsia" w:hAnsiTheme="minorHAnsi" w:cstheme="minorBidi"/>
          <w:bCs w:val="0"/>
          <w:noProof/>
          <w:snapToGrid/>
          <w:lang w:val="en-NA" w:eastAsia="en-NA"/>
        </w:rPr>
      </w:pPr>
      <w:r>
        <w:rPr>
          <w:noProof/>
        </w:rPr>
        <w:t>P2.1</w:t>
      </w:r>
      <w:r>
        <w:rPr>
          <w:rFonts w:asciiTheme="minorHAnsi" w:eastAsiaTheme="minorEastAsia" w:hAnsiTheme="minorHAnsi" w:cstheme="minorBidi"/>
          <w:bCs w:val="0"/>
          <w:noProof/>
          <w:snapToGrid/>
          <w:lang w:val="en-NA" w:eastAsia="en-NA"/>
        </w:rPr>
        <w:tab/>
      </w:r>
      <w:r>
        <w:rPr>
          <w:noProof/>
        </w:rPr>
        <w:t>Contexto da SADC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_Toc96841404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67DCCFBC" w14:textId="50410FDC" w:rsidR="001821C7" w:rsidRDefault="001821C7">
      <w:pPr>
        <w:pStyle w:val="TOC1"/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szCs w:val="22"/>
          <w:lang w:val="en-NA" w:eastAsia="en-NA"/>
        </w:rPr>
      </w:pPr>
      <w:r>
        <w:rPr>
          <w:noProof/>
        </w:rPr>
        <w:t>P3.</w:t>
      </w:r>
      <w:r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szCs w:val="22"/>
          <w:lang w:val="en-NA" w:eastAsia="en-NA"/>
        </w:rPr>
        <w:tab/>
      </w:r>
      <w:r>
        <w:rPr>
          <w:noProof/>
        </w:rPr>
        <w:t xml:space="preserve">Objectivos do </w:t>
      </w:r>
      <w:r w:rsidRPr="004F5DBD">
        <w:rPr>
          <w:i/>
          <w:noProof/>
        </w:rPr>
        <w:t>código da rede regional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_Toc96841405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1D1A3E88" w14:textId="5B5014E0" w:rsidR="001821C7" w:rsidRDefault="001821C7">
      <w:pPr>
        <w:pStyle w:val="TOC1"/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szCs w:val="22"/>
          <w:lang w:val="en-NA" w:eastAsia="en-NA"/>
        </w:rPr>
      </w:pPr>
      <w:r>
        <w:rPr>
          <w:noProof/>
        </w:rPr>
        <w:t>P4.</w:t>
      </w:r>
      <w:r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szCs w:val="22"/>
          <w:lang w:val="en-NA" w:eastAsia="en-NA"/>
        </w:rPr>
        <w:tab/>
      </w:r>
      <w:r>
        <w:rPr>
          <w:noProof/>
        </w:rPr>
        <w:t xml:space="preserve">Estrutura do </w:t>
      </w:r>
      <w:r w:rsidRPr="004F5DBD">
        <w:rPr>
          <w:i/>
          <w:noProof/>
        </w:rPr>
        <w:t>código da rede regional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_Toc96841406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12DDBC14" w14:textId="2D890049" w:rsidR="001821C7" w:rsidRDefault="001821C7">
      <w:pPr>
        <w:pStyle w:val="TOC2"/>
        <w:rPr>
          <w:rFonts w:asciiTheme="minorHAnsi" w:eastAsiaTheme="minorEastAsia" w:hAnsiTheme="minorHAnsi" w:cstheme="minorBidi"/>
          <w:bCs w:val="0"/>
          <w:noProof/>
          <w:snapToGrid/>
          <w:lang w:val="en-NA" w:eastAsia="en-NA"/>
        </w:rPr>
      </w:pPr>
      <w:r>
        <w:rPr>
          <w:noProof/>
        </w:rPr>
        <w:t>P4.2</w:t>
      </w:r>
      <w:r>
        <w:rPr>
          <w:rFonts w:asciiTheme="minorHAnsi" w:eastAsiaTheme="minorEastAsia" w:hAnsiTheme="minorHAnsi" w:cstheme="minorBidi"/>
          <w:bCs w:val="0"/>
          <w:noProof/>
          <w:snapToGrid/>
          <w:lang w:val="en-NA" w:eastAsia="en-NA"/>
        </w:rPr>
        <w:tab/>
      </w:r>
      <w:r>
        <w:rPr>
          <w:noProof/>
        </w:rPr>
        <w:t>Preâmbulo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_Toc96841407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5F85087B" w14:textId="59204086" w:rsidR="001821C7" w:rsidRDefault="001821C7">
      <w:pPr>
        <w:pStyle w:val="TOC2"/>
        <w:rPr>
          <w:rFonts w:asciiTheme="minorHAnsi" w:eastAsiaTheme="minorEastAsia" w:hAnsiTheme="minorHAnsi" w:cstheme="minorBidi"/>
          <w:bCs w:val="0"/>
          <w:noProof/>
          <w:snapToGrid/>
          <w:lang w:val="en-NA" w:eastAsia="en-NA"/>
        </w:rPr>
      </w:pPr>
      <w:r>
        <w:rPr>
          <w:noProof/>
        </w:rPr>
        <w:t>P4.3</w:t>
      </w:r>
      <w:r>
        <w:rPr>
          <w:rFonts w:asciiTheme="minorHAnsi" w:eastAsiaTheme="minorEastAsia" w:hAnsiTheme="minorHAnsi" w:cstheme="minorBidi"/>
          <w:bCs w:val="0"/>
          <w:noProof/>
          <w:snapToGrid/>
          <w:lang w:val="en-NA" w:eastAsia="en-NA"/>
        </w:rPr>
        <w:tab/>
      </w:r>
      <w:r>
        <w:rPr>
          <w:noProof/>
        </w:rPr>
        <w:t>Condições Gerais (GC)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_Toc96841408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0DA33FE3" w14:textId="223C01E5" w:rsidR="001821C7" w:rsidRDefault="001821C7">
      <w:pPr>
        <w:pStyle w:val="TOC2"/>
        <w:rPr>
          <w:rFonts w:asciiTheme="minorHAnsi" w:eastAsiaTheme="minorEastAsia" w:hAnsiTheme="minorHAnsi" w:cstheme="minorBidi"/>
          <w:bCs w:val="0"/>
          <w:noProof/>
          <w:snapToGrid/>
          <w:lang w:val="en-NA" w:eastAsia="en-NA"/>
        </w:rPr>
      </w:pPr>
      <w:r>
        <w:rPr>
          <w:noProof/>
        </w:rPr>
        <w:t>P4.4</w:t>
      </w:r>
      <w:r>
        <w:rPr>
          <w:rFonts w:asciiTheme="minorHAnsi" w:eastAsiaTheme="minorEastAsia" w:hAnsiTheme="minorHAnsi" w:cstheme="minorBidi"/>
          <w:bCs w:val="0"/>
          <w:noProof/>
          <w:snapToGrid/>
          <w:lang w:val="en-NA" w:eastAsia="en-NA"/>
        </w:rPr>
        <w:tab/>
      </w:r>
      <w:r>
        <w:rPr>
          <w:noProof/>
        </w:rPr>
        <w:t>Código de Planeamento (PC)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_Toc96841409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4AD69BD7" w14:textId="6293B9FA" w:rsidR="001821C7" w:rsidRDefault="001821C7">
      <w:pPr>
        <w:pStyle w:val="TOC2"/>
        <w:rPr>
          <w:rFonts w:asciiTheme="minorHAnsi" w:eastAsiaTheme="minorEastAsia" w:hAnsiTheme="minorHAnsi" w:cstheme="minorBidi"/>
          <w:bCs w:val="0"/>
          <w:noProof/>
          <w:snapToGrid/>
          <w:lang w:val="en-NA" w:eastAsia="en-NA"/>
        </w:rPr>
      </w:pPr>
      <w:r>
        <w:rPr>
          <w:noProof/>
        </w:rPr>
        <w:t>P4.5</w:t>
      </w:r>
      <w:r>
        <w:rPr>
          <w:rFonts w:asciiTheme="minorHAnsi" w:eastAsiaTheme="minorEastAsia" w:hAnsiTheme="minorHAnsi" w:cstheme="minorBidi"/>
          <w:bCs w:val="0"/>
          <w:noProof/>
          <w:snapToGrid/>
          <w:lang w:val="en-NA" w:eastAsia="en-NA"/>
        </w:rPr>
        <w:tab/>
      </w:r>
      <w:r>
        <w:rPr>
          <w:noProof/>
        </w:rPr>
        <w:t>Código das Operações (incluindo o código de formação dos operadores do sistema) (OC)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_Toc96841410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26255FAC" w14:textId="69D428BE" w:rsidR="001821C7" w:rsidRDefault="001821C7">
      <w:pPr>
        <w:pStyle w:val="TOC2"/>
        <w:rPr>
          <w:rFonts w:asciiTheme="minorHAnsi" w:eastAsiaTheme="minorEastAsia" w:hAnsiTheme="minorHAnsi" w:cstheme="minorBidi"/>
          <w:bCs w:val="0"/>
          <w:noProof/>
          <w:snapToGrid/>
          <w:lang w:val="en-NA" w:eastAsia="en-NA"/>
        </w:rPr>
      </w:pPr>
      <w:r>
        <w:rPr>
          <w:noProof/>
        </w:rPr>
        <w:t>P4.6</w:t>
      </w:r>
      <w:r>
        <w:rPr>
          <w:rFonts w:asciiTheme="minorHAnsi" w:eastAsiaTheme="minorEastAsia" w:hAnsiTheme="minorHAnsi" w:cstheme="minorBidi"/>
          <w:bCs w:val="0"/>
          <w:noProof/>
          <w:snapToGrid/>
          <w:lang w:val="en-NA" w:eastAsia="en-NA"/>
        </w:rPr>
        <w:tab/>
      </w:r>
      <w:r>
        <w:rPr>
          <w:noProof/>
        </w:rPr>
        <w:t>Código de conexão (CC)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_Toc96841411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02D417CA" w14:textId="3075223A" w:rsidR="001821C7" w:rsidRDefault="001821C7">
      <w:pPr>
        <w:pStyle w:val="TOC2"/>
        <w:rPr>
          <w:rFonts w:asciiTheme="minorHAnsi" w:eastAsiaTheme="minorEastAsia" w:hAnsiTheme="minorHAnsi" w:cstheme="minorBidi"/>
          <w:bCs w:val="0"/>
          <w:noProof/>
          <w:snapToGrid/>
          <w:lang w:val="en-NA" w:eastAsia="en-NA"/>
        </w:rPr>
      </w:pPr>
      <w:r>
        <w:rPr>
          <w:noProof/>
        </w:rPr>
        <w:t>P4.7</w:t>
      </w:r>
      <w:r>
        <w:rPr>
          <w:rFonts w:asciiTheme="minorHAnsi" w:eastAsiaTheme="minorEastAsia" w:hAnsiTheme="minorHAnsi" w:cstheme="minorBidi"/>
          <w:bCs w:val="0"/>
          <w:noProof/>
          <w:snapToGrid/>
          <w:lang w:val="en-NA" w:eastAsia="en-NA"/>
        </w:rPr>
        <w:tab/>
      </w:r>
      <w:r>
        <w:rPr>
          <w:noProof/>
        </w:rPr>
        <w:t>Código de troca de informação (IC)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_Toc96841412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1DA14CBE" w14:textId="23D82FD2" w:rsidR="001821C7" w:rsidRDefault="001821C7">
      <w:pPr>
        <w:pStyle w:val="TOC2"/>
        <w:rPr>
          <w:rFonts w:asciiTheme="minorHAnsi" w:eastAsiaTheme="minorEastAsia" w:hAnsiTheme="minorHAnsi" w:cstheme="minorBidi"/>
          <w:bCs w:val="0"/>
          <w:noProof/>
          <w:snapToGrid/>
          <w:lang w:val="en-NA" w:eastAsia="en-NA"/>
        </w:rPr>
      </w:pPr>
      <w:r>
        <w:rPr>
          <w:noProof/>
        </w:rPr>
        <w:t>P4.8</w:t>
      </w:r>
      <w:r>
        <w:rPr>
          <w:rFonts w:asciiTheme="minorHAnsi" w:eastAsiaTheme="minorEastAsia" w:hAnsiTheme="minorHAnsi" w:cstheme="minorBidi"/>
          <w:bCs w:val="0"/>
          <w:noProof/>
          <w:snapToGrid/>
          <w:lang w:val="en-NA" w:eastAsia="en-NA"/>
        </w:rPr>
        <w:tab/>
      </w:r>
      <w:r>
        <w:rPr>
          <w:noProof/>
        </w:rPr>
        <w:t>Código de medição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_Toc96841413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5009DCE2" w14:textId="58F2FACC" w:rsidR="001821C7" w:rsidRDefault="001821C7">
      <w:pPr>
        <w:pStyle w:val="TOC2"/>
        <w:rPr>
          <w:rFonts w:asciiTheme="minorHAnsi" w:eastAsiaTheme="minorEastAsia" w:hAnsiTheme="minorHAnsi" w:cstheme="minorBidi"/>
          <w:bCs w:val="0"/>
          <w:noProof/>
          <w:snapToGrid/>
          <w:lang w:val="en-NA" w:eastAsia="en-NA"/>
        </w:rPr>
      </w:pPr>
      <w:r>
        <w:rPr>
          <w:noProof/>
        </w:rPr>
        <w:t>P4.9</w:t>
      </w:r>
      <w:r>
        <w:rPr>
          <w:rFonts w:asciiTheme="minorHAnsi" w:eastAsiaTheme="minorEastAsia" w:hAnsiTheme="minorHAnsi" w:cstheme="minorBidi"/>
          <w:bCs w:val="0"/>
          <w:noProof/>
          <w:snapToGrid/>
          <w:lang w:val="en-NA" w:eastAsia="en-NA"/>
        </w:rPr>
        <w:tab/>
      </w:r>
      <w:r>
        <w:rPr>
          <w:noProof/>
        </w:rPr>
        <w:t>Código do mercado (MrC)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_Toc96841414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256B9C00" w14:textId="2119B4DA" w:rsidR="001821C7" w:rsidRDefault="001821C7">
      <w:pPr>
        <w:pStyle w:val="TOC1"/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szCs w:val="22"/>
          <w:lang w:val="en-NA" w:eastAsia="en-NA"/>
        </w:rPr>
      </w:pPr>
      <w:r>
        <w:rPr>
          <w:noProof/>
        </w:rPr>
        <w:t>P5.</w:t>
      </w:r>
      <w:r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szCs w:val="22"/>
          <w:lang w:val="en-NA" w:eastAsia="en-NA"/>
        </w:rPr>
        <w:tab/>
      </w:r>
      <w:r>
        <w:rPr>
          <w:noProof/>
        </w:rPr>
        <w:t>Língua do código da rede regional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_Toc96841415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2C4C73EF" w14:textId="182F1655" w:rsidR="001821C7" w:rsidRDefault="001821C7">
      <w:pPr>
        <w:pStyle w:val="TOC1"/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szCs w:val="22"/>
          <w:lang w:val="en-NA" w:eastAsia="en-NA"/>
        </w:rPr>
      </w:pPr>
      <w:r>
        <w:rPr>
          <w:noProof/>
        </w:rPr>
        <w:t>P6.</w:t>
      </w:r>
      <w:r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szCs w:val="22"/>
          <w:lang w:val="en-NA" w:eastAsia="en-NA"/>
        </w:rPr>
        <w:tab/>
      </w:r>
      <w:r>
        <w:rPr>
          <w:noProof/>
        </w:rPr>
        <w:t>Descrição do quadro institucional existente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_Toc96841416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0C0859B1" w14:textId="4A0EE3A3" w:rsidR="001821C7" w:rsidRDefault="001821C7">
      <w:pPr>
        <w:pStyle w:val="TOC2"/>
        <w:rPr>
          <w:rFonts w:asciiTheme="minorHAnsi" w:eastAsiaTheme="minorEastAsia" w:hAnsiTheme="minorHAnsi" w:cstheme="minorBidi"/>
          <w:bCs w:val="0"/>
          <w:noProof/>
          <w:snapToGrid/>
          <w:lang w:val="en-NA" w:eastAsia="en-NA"/>
        </w:rPr>
      </w:pPr>
      <w:r>
        <w:rPr>
          <w:noProof/>
        </w:rPr>
        <w:t>P6.1</w:t>
      </w:r>
      <w:r>
        <w:rPr>
          <w:rFonts w:asciiTheme="minorHAnsi" w:eastAsiaTheme="minorEastAsia" w:hAnsiTheme="minorHAnsi" w:cstheme="minorBidi"/>
          <w:bCs w:val="0"/>
          <w:noProof/>
          <w:snapToGrid/>
          <w:lang w:val="en-NA" w:eastAsia="en-NA"/>
        </w:rPr>
        <w:tab/>
      </w:r>
      <w:r>
        <w:rPr>
          <w:noProof/>
        </w:rPr>
        <w:t xml:space="preserve">A </w:t>
      </w:r>
      <w:r w:rsidRPr="004F5DBD">
        <w:rPr>
          <w:i/>
          <w:iCs/>
          <w:noProof/>
        </w:rPr>
        <w:t>Comunidade de Desenvolvimento da África Austral (SADC)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_Toc96841417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376581D1" w14:textId="5C848A62" w:rsidR="001821C7" w:rsidRDefault="001821C7">
      <w:pPr>
        <w:pStyle w:val="TOC2"/>
        <w:rPr>
          <w:rFonts w:asciiTheme="minorHAnsi" w:eastAsiaTheme="minorEastAsia" w:hAnsiTheme="minorHAnsi" w:cstheme="minorBidi"/>
          <w:bCs w:val="0"/>
          <w:noProof/>
          <w:snapToGrid/>
          <w:lang w:val="en-NA" w:eastAsia="en-NA"/>
        </w:rPr>
      </w:pPr>
      <w:r>
        <w:rPr>
          <w:noProof/>
        </w:rPr>
        <w:t>P6.2</w:t>
      </w:r>
      <w:r>
        <w:rPr>
          <w:rFonts w:asciiTheme="minorHAnsi" w:eastAsiaTheme="minorEastAsia" w:hAnsiTheme="minorHAnsi" w:cstheme="minorBidi"/>
          <w:bCs w:val="0"/>
          <w:noProof/>
          <w:snapToGrid/>
          <w:lang w:val="en-NA" w:eastAsia="en-NA"/>
        </w:rPr>
        <w:tab/>
      </w:r>
      <w:r>
        <w:rPr>
          <w:noProof/>
        </w:rPr>
        <w:t xml:space="preserve">O </w:t>
      </w:r>
      <w:r w:rsidRPr="004F5DBD">
        <w:rPr>
          <w:i/>
          <w:iCs/>
          <w:noProof/>
        </w:rPr>
        <w:t>Grupo Energético da África Austral (SAPP)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_Toc96841418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4C31F056" w14:textId="2F1E6D5B" w:rsidR="001821C7" w:rsidRDefault="001821C7">
      <w:pPr>
        <w:pStyle w:val="TOC2"/>
        <w:rPr>
          <w:rFonts w:asciiTheme="minorHAnsi" w:eastAsiaTheme="minorEastAsia" w:hAnsiTheme="minorHAnsi" w:cstheme="minorBidi"/>
          <w:bCs w:val="0"/>
          <w:noProof/>
          <w:snapToGrid/>
          <w:lang w:val="en-NA" w:eastAsia="en-NA"/>
        </w:rPr>
      </w:pPr>
      <w:r w:rsidRPr="004F5DBD">
        <w:rPr>
          <w:i/>
          <w:noProof/>
        </w:rPr>
        <w:t>P6.3</w:t>
      </w:r>
      <w:r>
        <w:rPr>
          <w:rFonts w:asciiTheme="minorHAnsi" w:eastAsiaTheme="minorEastAsia" w:hAnsiTheme="minorHAnsi" w:cstheme="minorBidi"/>
          <w:bCs w:val="0"/>
          <w:noProof/>
          <w:snapToGrid/>
          <w:lang w:val="en-NA" w:eastAsia="en-NA"/>
        </w:rPr>
        <w:tab/>
      </w:r>
      <w:r w:rsidRPr="004F5DBD">
        <w:rPr>
          <w:i/>
          <w:noProof/>
        </w:rPr>
        <w:t>A Associação Regional dos Reguladores de Energia da África Austral (RERA)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_Toc96841419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32DE0309" w14:textId="53088BC1" w:rsidR="001821C7" w:rsidRDefault="001821C7">
      <w:pPr>
        <w:pStyle w:val="TOC1"/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szCs w:val="22"/>
          <w:lang w:val="en-NA" w:eastAsia="en-NA"/>
        </w:rPr>
      </w:pPr>
      <w:r>
        <w:rPr>
          <w:noProof/>
        </w:rPr>
        <w:t>P7.</w:t>
      </w:r>
      <w:r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szCs w:val="22"/>
          <w:lang w:val="en-NA" w:eastAsia="en-NA"/>
        </w:rPr>
        <w:tab/>
      </w:r>
      <w:r>
        <w:rPr>
          <w:noProof/>
        </w:rPr>
        <w:t>Descrição dos sistemas de energia existentes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_Toc96841420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0A274A69" w14:textId="7FC8AF33" w:rsidR="001821C7" w:rsidRDefault="001821C7">
      <w:pPr>
        <w:pStyle w:val="TOC2"/>
        <w:rPr>
          <w:rFonts w:asciiTheme="minorHAnsi" w:eastAsiaTheme="minorEastAsia" w:hAnsiTheme="minorHAnsi" w:cstheme="minorBidi"/>
          <w:bCs w:val="0"/>
          <w:noProof/>
          <w:snapToGrid/>
          <w:lang w:val="en-NA" w:eastAsia="en-NA"/>
        </w:rPr>
      </w:pPr>
      <w:r>
        <w:rPr>
          <w:noProof/>
        </w:rPr>
        <w:t>P7.1</w:t>
      </w:r>
      <w:r>
        <w:rPr>
          <w:rFonts w:asciiTheme="minorHAnsi" w:eastAsiaTheme="minorEastAsia" w:hAnsiTheme="minorHAnsi" w:cstheme="minorBidi"/>
          <w:bCs w:val="0"/>
          <w:noProof/>
          <w:snapToGrid/>
          <w:lang w:val="en-NA" w:eastAsia="en-NA"/>
        </w:rPr>
        <w:tab/>
      </w:r>
      <w:r>
        <w:rPr>
          <w:noProof/>
        </w:rPr>
        <w:t xml:space="preserve">Sistemas de energia da </w:t>
      </w:r>
      <w:r w:rsidRPr="004F5DBD">
        <w:rPr>
          <w:i/>
          <w:iCs/>
          <w:noProof/>
        </w:rPr>
        <w:t>SADC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_Toc96841421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205E6554" w14:textId="07318669" w:rsidR="001821C7" w:rsidRDefault="001821C7">
      <w:pPr>
        <w:pStyle w:val="TOC2"/>
        <w:rPr>
          <w:rFonts w:asciiTheme="minorHAnsi" w:eastAsiaTheme="minorEastAsia" w:hAnsiTheme="minorHAnsi" w:cstheme="minorBidi"/>
          <w:bCs w:val="0"/>
          <w:noProof/>
          <w:snapToGrid/>
          <w:lang w:val="en-NA" w:eastAsia="en-NA"/>
        </w:rPr>
      </w:pPr>
      <w:r>
        <w:rPr>
          <w:noProof/>
        </w:rPr>
        <w:t>P7.2</w:t>
      </w:r>
      <w:r>
        <w:rPr>
          <w:rFonts w:asciiTheme="minorHAnsi" w:eastAsiaTheme="minorEastAsia" w:hAnsiTheme="minorHAnsi" w:cstheme="minorBidi"/>
          <w:bCs w:val="0"/>
          <w:noProof/>
          <w:snapToGrid/>
          <w:lang w:val="en-NA" w:eastAsia="en-NA"/>
        </w:rPr>
        <w:tab/>
      </w:r>
      <w:r>
        <w:rPr>
          <w:noProof/>
        </w:rPr>
        <w:t>Tensões de transporte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_Toc96841422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6062106B" w14:textId="0849182D" w:rsidR="001821C7" w:rsidRDefault="001821C7">
      <w:pPr>
        <w:pStyle w:val="TOC2"/>
        <w:rPr>
          <w:rFonts w:asciiTheme="minorHAnsi" w:eastAsiaTheme="minorEastAsia" w:hAnsiTheme="minorHAnsi" w:cstheme="minorBidi"/>
          <w:bCs w:val="0"/>
          <w:noProof/>
          <w:snapToGrid/>
          <w:lang w:val="en-NA" w:eastAsia="en-NA"/>
        </w:rPr>
      </w:pPr>
      <w:r>
        <w:rPr>
          <w:noProof/>
        </w:rPr>
        <w:t>P7.3</w:t>
      </w:r>
      <w:r>
        <w:rPr>
          <w:rFonts w:asciiTheme="minorHAnsi" w:eastAsiaTheme="minorEastAsia" w:hAnsiTheme="minorHAnsi" w:cstheme="minorBidi"/>
          <w:bCs w:val="0"/>
          <w:noProof/>
          <w:snapToGrid/>
          <w:lang w:val="en-NA" w:eastAsia="en-NA"/>
        </w:rPr>
        <w:tab/>
      </w:r>
      <w:r>
        <w:rPr>
          <w:noProof/>
        </w:rPr>
        <w:t>Projectos de interesse regional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_Toc96841423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2D79CFB9" w14:textId="2D1CCEF6" w:rsidR="009F375B" w:rsidRPr="00980B05" w:rsidRDefault="00064DE6" w:rsidP="00534B73">
      <w:pPr>
        <w:pStyle w:val="TOC1"/>
      </w:pPr>
      <w:r w:rsidRPr="00980B05">
        <w:fldChar w:fldCharType="end"/>
      </w:r>
    </w:p>
    <w:p w14:paraId="3522A561" w14:textId="77777777" w:rsidR="009F375B" w:rsidRPr="00980B05" w:rsidRDefault="009F375B">
      <w:pPr>
        <w:rPr>
          <w:lang w:val="en-GB"/>
        </w:rPr>
      </w:pPr>
    </w:p>
    <w:p w14:paraId="0D2F446C" w14:textId="77777777" w:rsidR="00431B8B" w:rsidRPr="00980B05" w:rsidRDefault="00431B8B" w:rsidP="00431B8B">
      <w:pPr>
        <w:rPr>
          <w:rStyle w:val="TOCHeading1"/>
        </w:rPr>
      </w:pPr>
      <w:r>
        <w:rPr>
          <w:rStyle w:val="TOCHeading1"/>
        </w:rPr>
        <w:t>Lista de Figuras</w:t>
      </w:r>
    </w:p>
    <w:p w14:paraId="3ED08232" w14:textId="444AC4AE" w:rsidR="006B0C4D" w:rsidRDefault="00431B8B">
      <w:pPr>
        <w:pStyle w:val="TableofFigures"/>
        <w:tabs>
          <w:tab w:val="right" w:leader="dot" w:pos="8662"/>
        </w:tabs>
        <w:rPr>
          <w:rFonts w:asciiTheme="minorHAnsi" w:eastAsiaTheme="minorEastAsia" w:hAnsiTheme="minorHAnsi" w:cstheme="minorBidi"/>
          <w:noProof/>
          <w:szCs w:val="22"/>
          <w:lang w:val="en-NA" w:eastAsia="en-NA"/>
        </w:rPr>
      </w:pPr>
      <w:r w:rsidRPr="00980B05">
        <w:fldChar w:fldCharType="begin"/>
      </w:r>
      <w:r w:rsidRPr="00980B05">
        <w:instrText xml:space="preserve"> TOC \c "Figure" </w:instrText>
      </w:r>
      <w:r w:rsidRPr="00980B05">
        <w:fldChar w:fldCharType="separate"/>
      </w:r>
      <w:r w:rsidR="006B0C4D">
        <w:rPr>
          <w:noProof/>
        </w:rPr>
        <w:t>Figura 1. Organigrama e composição do SAPP (fonte: Relatório Anual do SAPP de 2020)</w:t>
      </w:r>
      <w:r w:rsidR="006B0C4D">
        <w:rPr>
          <w:noProof/>
        </w:rPr>
        <w:tab/>
      </w:r>
      <w:r w:rsidR="006B0C4D">
        <w:rPr>
          <w:noProof/>
        </w:rPr>
        <w:fldChar w:fldCharType="begin"/>
      </w:r>
      <w:r w:rsidR="006B0C4D">
        <w:rPr>
          <w:noProof/>
        </w:rPr>
        <w:instrText xml:space="preserve"> PAGEREF _Toc96808957 \h </w:instrText>
      </w:r>
      <w:r w:rsidR="006B0C4D">
        <w:rPr>
          <w:noProof/>
        </w:rPr>
      </w:r>
      <w:r w:rsidR="006B0C4D">
        <w:rPr>
          <w:noProof/>
        </w:rPr>
        <w:fldChar w:fldCharType="separate"/>
      </w:r>
      <w:r w:rsidR="006B0C4D">
        <w:rPr>
          <w:noProof/>
        </w:rPr>
        <w:t>10</w:t>
      </w:r>
      <w:r w:rsidR="006B0C4D">
        <w:rPr>
          <w:noProof/>
        </w:rPr>
        <w:fldChar w:fldCharType="end"/>
      </w:r>
    </w:p>
    <w:p w14:paraId="601F9167" w14:textId="00151475" w:rsidR="006B0C4D" w:rsidRDefault="006B0C4D">
      <w:pPr>
        <w:pStyle w:val="TableofFigures"/>
        <w:tabs>
          <w:tab w:val="right" w:leader="dot" w:pos="8662"/>
        </w:tabs>
        <w:rPr>
          <w:rFonts w:asciiTheme="minorHAnsi" w:eastAsiaTheme="minorEastAsia" w:hAnsiTheme="minorHAnsi" w:cstheme="minorBidi"/>
          <w:noProof/>
          <w:szCs w:val="22"/>
          <w:lang w:val="en-NA" w:eastAsia="en-NA"/>
        </w:rPr>
      </w:pPr>
      <w:r>
        <w:rPr>
          <w:noProof/>
        </w:rPr>
        <w:t xml:space="preserve">Figura 2. Estrutura da SARERA de acordo com as directrizes da </w:t>
      </w:r>
      <w:r w:rsidRPr="00A105B7">
        <w:rPr>
          <w:i/>
          <w:iCs/>
          <w:noProof/>
        </w:rPr>
        <w:t>SADC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_Toc96808958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361A0312" w14:textId="5752F968" w:rsidR="006B0C4D" w:rsidRDefault="006B0C4D">
      <w:pPr>
        <w:pStyle w:val="TableofFigures"/>
        <w:tabs>
          <w:tab w:val="right" w:leader="dot" w:pos="8662"/>
        </w:tabs>
        <w:rPr>
          <w:rFonts w:asciiTheme="minorHAnsi" w:eastAsiaTheme="minorEastAsia" w:hAnsiTheme="minorHAnsi" w:cstheme="minorBidi"/>
          <w:noProof/>
          <w:szCs w:val="22"/>
          <w:lang w:val="en-NA" w:eastAsia="en-NA"/>
        </w:rPr>
      </w:pPr>
      <w:r>
        <w:rPr>
          <w:noProof/>
        </w:rPr>
        <w:t>Figura 3. Projectos de transporte planeados (fonte: SAPP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_Toc96808959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14:paraId="659A9898" w14:textId="1EF49D89" w:rsidR="00080681" w:rsidRDefault="00431B8B" w:rsidP="00431B8B">
      <w:r w:rsidRPr="00980B05">
        <w:fldChar w:fldCharType="end"/>
      </w:r>
    </w:p>
    <w:p w14:paraId="71FC2AE7" w14:textId="203D2AAB" w:rsidR="00431B8B" w:rsidRPr="00036C94" w:rsidRDefault="00080681" w:rsidP="00431B8B">
      <w:pPr>
        <w:rPr>
          <w:rStyle w:val="TOCHeading1"/>
        </w:rPr>
      </w:pPr>
      <w:r>
        <w:rPr>
          <w:rStyle w:val="TOCHeading1"/>
        </w:rPr>
        <w:t>Lista de Tabelas</w:t>
      </w:r>
    </w:p>
    <w:p w14:paraId="20ECA877" w14:textId="36EB3D20" w:rsidR="00CE38B1" w:rsidRDefault="00080681">
      <w:pPr>
        <w:pStyle w:val="TableofFigures"/>
        <w:tabs>
          <w:tab w:val="right" w:leader="dot" w:pos="8662"/>
        </w:tabs>
        <w:rPr>
          <w:rFonts w:asciiTheme="minorHAnsi" w:eastAsiaTheme="minorEastAsia" w:hAnsiTheme="minorHAnsi" w:cstheme="minorBidi"/>
          <w:noProof/>
          <w:szCs w:val="22"/>
        </w:rPr>
      </w:pPr>
      <w:r>
        <w:fldChar w:fldCharType="begin"/>
      </w:r>
      <w:r>
        <w:instrText xml:space="preserve"> TOC \h \z \c "Table" </w:instrText>
      </w:r>
      <w:r>
        <w:fldChar w:fldCharType="separate"/>
      </w:r>
      <w:hyperlink w:anchor="_Toc96072946" w:history="1">
        <w:r w:rsidR="00CE38B1" w:rsidRPr="00A7704C">
          <w:rPr>
            <w:rStyle w:val="Hyperlink"/>
            <w:noProof/>
          </w:rPr>
          <w:t>Tab</w:t>
        </w:r>
        <w:r w:rsidR="002647BB">
          <w:rPr>
            <w:rStyle w:val="Hyperlink"/>
            <w:noProof/>
          </w:rPr>
          <w:t>ela</w:t>
        </w:r>
        <w:r w:rsidR="00CE38B1" w:rsidRPr="00A7704C">
          <w:rPr>
            <w:rStyle w:val="Hyperlink"/>
            <w:noProof/>
          </w:rPr>
          <w:t xml:space="preserve"> 1. </w:t>
        </w:r>
        <w:r w:rsidR="002647BB">
          <w:rPr>
            <w:rStyle w:val="Hyperlink"/>
            <w:noProof/>
          </w:rPr>
          <w:t>Voltagens de transporte nos</w:t>
        </w:r>
        <w:r w:rsidR="00CE38B1" w:rsidRPr="00A7704C">
          <w:rPr>
            <w:rStyle w:val="Hyperlink"/>
            <w:noProof/>
          </w:rPr>
          <w:t xml:space="preserve"> </w:t>
        </w:r>
        <w:r w:rsidR="002647BB">
          <w:rPr>
            <w:rStyle w:val="Hyperlink"/>
            <w:i/>
            <w:iCs/>
            <w:noProof/>
          </w:rPr>
          <w:t>Estados membros da SADC</w:t>
        </w:r>
        <w:r w:rsidR="00CE38B1">
          <w:rPr>
            <w:noProof/>
            <w:webHidden/>
          </w:rPr>
          <w:tab/>
        </w:r>
        <w:r w:rsidR="00CE38B1">
          <w:rPr>
            <w:noProof/>
            <w:webHidden/>
          </w:rPr>
          <w:fldChar w:fldCharType="begin"/>
        </w:r>
        <w:r w:rsidR="00CE38B1">
          <w:rPr>
            <w:noProof/>
            <w:webHidden/>
          </w:rPr>
          <w:instrText xml:space="preserve"> PAGEREF _Toc96072946 \h </w:instrText>
        </w:r>
        <w:r w:rsidR="00CE38B1">
          <w:rPr>
            <w:noProof/>
            <w:webHidden/>
          </w:rPr>
        </w:r>
        <w:r w:rsidR="00CE38B1">
          <w:rPr>
            <w:noProof/>
            <w:webHidden/>
          </w:rPr>
          <w:fldChar w:fldCharType="separate"/>
        </w:r>
        <w:r w:rsidR="006B0C4D">
          <w:rPr>
            <w:noProof/>
            <w:webHidden/>
          </w:rPr>
          <w:t>13</w:t>
        </w:r>
        <w:r w:rsidR="00CE38B1">
          <w:rPr>
            <w:noProof/>
            <w:webHidden/>
          </w:rPr>
          <w:fldChar w:fldCharType="end"/>
        </w:r>
      </w:hyperlink>
    </w:p>
    <w:p w14:paraId="0CA2AB94" w14:textId="32079E6B" w:rsidR="00080681" w:rsidRDefault="00080681" w:rsidP="00431B8B">
      <w:r>
        <w:fldChar w:fldCharType="end"/>
      </w:r>
    </w:p>
    <w:p w14:paraId="4D465068" w14:textId="77777777" w:rsidR="00080681" w:rsidRDefault="00080681" w:rsidP="00431B8B">
      <w:pPr>
        <w:rPr>
          <w:lang w:val="en-GB"/>
        </w:rPr>
      </w:pPr>
    </w:p>
    <w:p w14:paraId="4886CEA8" w14:textId="77777777" w:rsidR="000718AD" w:rsidRPr="00980B05" w:rsidRDefault="000718AD" w:rsidP="000718AD">
      <w:pPr>
        <w:rPr>
          <w:rStyle w:val="TOCHeading1"/>
          <w:lang w:val="en-GB"/>
        </w:rPr>
      </w:pPr>
    </w:p>
    <w:p w14:paraId="7E9822DA" w14:textId="77777777" w:rsidR="000718AD" w:rsidRPr="00980B05" w:rsidRDefault="000718AD" w:rsidP="00431B8B">
      <w:pPr>
        <w:rPr>
          <w:rStyle w:val="TOCHeading1"/>
          <w:lang w:val="en-GB"/>
        </w:rPr>
      </w:pPr>
    </w:p>
    <w:p w14:paraId="7206DC12" w14:textId="77777777" w:rsidR="00431B8B" w:rsidRPr="00980B05" w:rsidRDefault="00431B8B" w:rsidP="00431B8B">
      <w:pPr>
        <w:rPr>
          <w:rStyle w:val="TOCHeading1"/>
          <w:lang w:val="en-GB"/>
        </w:rPr>
      </w:pPr>
    </w:p>
    <w:p w14:paraId="0C359DFF" w14:textId="1654761D" w:rsidR="009F375B" w:rsidRPr="000D0CFB" w:rsidRDefault="009F375B" w:rsidP="008760B2">
      <w:pPr>
        <w:pStyle w:val="Heading1"/>
      </w:pPr>
      <w:r>
        <w:br w:type="page"/>
      </w:r>
      <w:bookmarkStart w:id="0" w:name="_Toc5762316"/>
      <w:bookmarkStart w:id="1" w:name="_Toc6278565"/>
      <w:bookmarkStart w:id="2" w:name="_Toc6280752"/>
      <w:bookmarkStart w:id="3" w:name="_Toc96841401"/>
      <w:r>
        <w:lastRenderedPageBreak/>
        <w:t>Introdução</w:t>
      </w:r>
      <w:bookmarkEnd w:id="0"/>
      <w:bookmarkEnd w:id="1"/>
      <w:bookmarkEnd w:id="2"/>
      <w:bookmarkEnd w:id="3"/>
    </w:p>
    <w:p w14:paraId="633A7DEF" w14:textId="52519D1A" w:rsidR="00C25D48" w:rsidRDefault="009C3184" w:rsidP="00C25D48">
      <w:pPr>
        <w:pStyle w:val="Heading2"/>
      </w:pPr>
      <w:bookmarkStart w:id="4" w:name="_Toc96841402"/>
      <w:r>
        <w:t>Disposições gerais</w:t>
      </w:r>
      <w:bookmarkEnd w:id="4"/>
    </w:p>
    <w:p w14:paraId="16DE1F91" w14:textId="674F1468" w:rsidR="00226ECA" w:rsidRPr="00CF4E38" w:rsidRDefault="009C3184" w:rsidP="00226ECA">
      <w:pPr>
        <w:pStyle w:val="Heading3"/>
      </w:pPr>
      <w:bookmarkStart w:id="5" w:name="_Hlk93524073"/>
      <w:r>
        <w:t xml:space="preserve">O Preâmbulo apresenta o contexto do código da rede regional e suas várias </w:t>
      </w:r>
      <w:r w:rsidR="002647BB">
        <w:t>subsecções</w:t>
      </w:r>
      <w:r>
        <w:t xml:space="preserve">. Apresenta igualmente um resumo dos diferentes códigos que compõem o código da rede regional. Explica o pano de fundo da norma para </w:t>
      </w:r>
      <w:r w:rsidR="002647BB">
        <w:t xml:space="preserve">a </w:t>
      </w:r>
      <w:r>
        <w:rPr>
          <w:i/>
          <w:iCs/>
        </w:rPr>
        <w:t>interconexão</w:t>
      </w:r>
      <w:r>
        <w:t xml:space="preserve"> na região da SADC e os objectivos de mais </w:t>
      </w:r>
      <w:r>
        <w:rPr>
          <w:i/>
          <w:iCs/>
        </w:rPr>
        <w:t>interconexão</w:t>
      </w:r>
      <w:r>
        <w:t xml:space="preserve"> na região, bem como a </w:t>
      </w:r>
      <w:r w:rsidR="002647BB">
        <w:t>descrição</w:t>
      </w:r>
      <w:r>
        <w:t xml:space="preserve"> das </w:t>
      </w:r>
      <w:r>
        <w:rPr>
          <w:i/>
          <w:iCs/>
        </w:rPr>
        <w:t>interconexões</w:t>
      </w:r>
      <w:r>
        <w:t xml:space="preserve"> existentes e previstas </w:t>
      </w:r>
      <w:r w:rsidR="002647BB">
        <w:t>bem como</w:t>
      </w:r>
      <w:r>
        <w:t xml:space="preserve"> os </w:t>
      </w:r>
      <w:r>
        <w:rPr>
          <w:i/>
          <w:iCs/>
        </w:rPr>
        <w:t>sistemas de energia</w:t>
      </w:r>
      <w:r>
        <w:t xml:space="preserve"> e o quadro institucional na região da SADC.  </w:t>
      </w:r>
    </w:p>
    <w:p w14:paraId="59253304" w14:textId="6A0852AB" w:rsidR="00633E18" w:rsidRPr="00980B05" w:rsidRDefault="009C3184" w:rsidP="000D0CFB">
      <w:pPr>
        <w:pStyle w:val="Heading1"/>
      </w:pPr>
      <w:bookmarkStart w:id="6" w:name="_Toc96841403"/>
      <w:bookmarkEnd w:id="5"/>
      <w:r>
        <w:t>Comércio regional de energia na região da SADC</w:t>
      </w:r>
      <w:bookmarkEnd w:id="6"/>
    </w:p>
    <w:p w14:paraId="442A694E" w14:textId="2719866D" w:rsidR="009C3184" w:rsidRPr="00CF4E38" w:rsidRDefault="009C3184" w:rsidP="009C3184">
      <w:pPr>
        <w:pStyle w:val="Heading2"/>
      </w:pPr>
      <w:bookmarkStart w:id="7" w:name="_Toc96841404"/>
      <w:r>
        <w:t>Contexto da SADC</w:t>
      </w:r>
      <w:bookmarkEnd w:id="7"/>
    </w:p>
    <w:p w14:paraId="0A0F1A1D" w14:textId="2DEFCB63" w:rsidR="00E83C6A" w:rsidRDefault="00F905F2" w:rsidP="00F905F2">
      <w:pPr>
        <w:pStyle w:val="Heading3"/>
      </w:pPr>
      <w:r>
        <w:t>O objectivo principal do desenvolvimento do mercado de electricidade regional é de aumentar o comércio tanto entre as operadoras (</w:t>
      </w:r>
      <w:proofErr w:type="spellStart"/>
      <w:r w:rsidRPr="002647BB">
        <w:rPr>
          <w:i/>
          <w:iCs/>
        </w:rPr>
        <w:t>utilities</w:t>
      </w:r>
      <w:proofErr w:type="spellEnd"/>
      <w:r>
        <w:t xml:space="preserve">) estatais existentes e outros actores no mercado. Um resultado do crescimento do comércio é o aumento de incentivos para o investimento, particularmente por parte dos empreendedores do sector privado com perícia e recursos financeiros que são necessários para o desenvolvimento da energia na região. </w:t>
      </w:r>
    </w:p>
    <w:p w14:paraId="722AE2F3" w14:textId="588E365D" w:rsidR="00F905F2" w:rsidRPr="00CF4E38" w:rsidRDefault="00F905F2" w:rsidP="00F905F2">
      <w:pPr>
        <w:pStyle w:val="Heading3"/>
      </w:pPr>
      <w:r>
        <w:t xml:space="preserve">As instituições regionais de energia na região da </w:t>
      </w:r>
      <w:r w:rsidRPr="002647BB">
        <w:rPr>
          <w:i/>
          <w:iCs/>
        </w:rPr>
        <w:t>SADC</w:t>
      </w:r>
      <w:r>
        <w:t xml:space="preserve"> são as seguintes: </w:t>
      </w:r>
    </w:p>
    <w:p w14:paraId="4F55ED7E" w14:textId="71092C0D" w:rsidR="00E83C6A" w:rsidRPr="002C09C1" w:rsidRDefault="00F905F2" w:rsidP="00036C94">
      <w:pPr>
        <w:pStyle w:val="Numbered"/>
        <w:numPr>
          <w:ilvl w:val="1"/>
          <w:numId w:val="37"/>
        </w:numPr>
        <w:spacing w:after="160" w:line="259" w:lineRule="auto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a Divisão de Energia do Secretariado da </w:t>
      </w:r>
      <w:r w:rsidRPr="002647BB">
        <w:rPr>
          <w:rStyle w:val="Emphasis"/>
        </w:rPr>
        <w:t>SADC</w:t>
      </w:r>
      <w:r>
        <w:rPr>
          <w:rStyle w:val="Emphasis"/>
          <w:i w:val="0"/>
          <w:iCs w:val="0"/>
        </w:rPr>
        <w:t xml:space="preserve">. </w:t>
      </w:r>
    </w:p>
    <w:p w14:paraId="5D5172A2" w14:textId="743EB2FF" w:rsidR="00F905F2" w:rsidRPr="002C09C1" w:rsidRDefault="00F821EA" w:rsidP="00036C94">
      <w:pPr>
        <w:pStyle w:val="Numbered"/>
        <w:numPr>
          <w:ilvl w:val="1"/>
          <w:numId w:val="37"/>
        </w:numPr>
        <w:spacing w:after="160" w:line="259" w:lineRule="auto"/>
        <w:rPr>
          <w:rStyle w:val="Emphasis"/>
          <w:iCs w:val="0"/>
        </w:rPr>
      </w:pPr>
      <w:r>
        <w:rPr>
          <w:rStyle w:val="Emphasis"/>
          <w:iCs w:val="0"/>
        </w:rPr>
        <w:t xml:space="preserve">A Associação Regional dos Reguladores de Energia da África Austral (RERA) </w:t>
      </w:r>
    </w:p>
    <w:p w14:paraId="3E61AF24" w14:textId="1F6DC59B" w:rsidR="00F905F2" w:rsidRPr="00036C94" w:rsidRDefault="00F905F2" w:rsidP="00036C94">
      <w:pPr>
        <w:pStyle w:val="Numbered"/>
        <w:numPr>
          <w:ilvl w:val="1"/>
          <w:numId w:val="37"/>
        </w:numPr>
        <w:spacing w:after="160" w:line="259" w:lineRule="auto"/>
        <w:rPr>
          <w:rStyle w:val="Emphasis"/>
          <w:i w:val="0"/>
          <w:iCs w:val="0"/>
        </w:rPr>
      </w:pPr>
      <w:r>
        <w:rPr>
          <w:rStyle w:val="Emphasis"/>
        </w:rPr>
        <w:t xml:space="preserve">O Centro de </w:t>
      </w:r>
      <w:r w:rsidR="002647BB">
        <w:rPr>
          <w:rStyle w:val="Emphasis"/>
        </w:rPr>
        <w:t>Coordenação</w:t>
      </w:r>
      <w:r>
        <w:rPr>
          <w:rStyle w:val="Emphasis"/>
        </w:rPr>
        <w:t xml:space="preserve"> do SAPP, Grupo Energético da África Austral (SAPP).</w:t>
      </w:r>
      <w:r>
        <w:rPr>
          <w:rStyle w:val="Emphasis"/>
          <w:i w:val="0"/>
          <w:iCs w:val="0"/>
        </w:rPr>
        <w:t xml:space="preserve"> </w:t>
      </w:r>
    </w:p>
    <w:p w14:paraId="16A4E1E5" w14:textId="704689D4" w:rsidR="007F1EEC" w:rsidRDefault="00B07DB5" w:rsidP="00B07DB5">
      <w:pPr>
        <w:pStyle w:val="Heading3"/>
      </w:pPr>
      <w:r>
        <w:t xml:space="preserve">Um memorando de entendimento </w:t>
      </w:r>
      <w:r w:rsidR="002647BB">
        <w:t>intergovernamental</w:t>
      </w:r>
      <w:r>
        <w:t xml:space="preserve"> (IGMOU) assinado pelos </w:t>
      </w:r>
      <w:r w:rsidRPr="002647BB">
        <w:rPr>
          <w:i/>
          <w:iCs/>
        </w:rPr>
        <w:t>membros activos do SAPP</w:t>
      </w:r>
      <w:r>
        <w:t xml:space="preserve"> em Agosto de 1995 estabeleceu o </w:t>
      </w:r>
      <w:r w:rsidRPr="002647BB">
        <w:rPr>
          <w:i/>
          <w:iCs/>
        </w:rPr>
        <w:t>Grupo Energético da África Austral (SAPP)</w:t>
      </w:r>
      <w:r>
        <w:t>, um órgão regional integrado por 16 membros, que coordena o planeamento, a produção, o transporte e a comercialização da electricidade por conta das operadoras (</w:t>
      </w:r>
      <w:proofErr w:type="spellStart"/>
      <w:r>
        <w:t>utilities</w:t>
      </w:r>
      <w:proofErr w:type="spellEnd"/>
      <w:r>
        <w:t xml:space="preserve">) nos </w:t>
      </w:r>
      <w:r>
        <w:rPr>
          <w:i/>
          <w:iCs/>
        </w:rPr>
        <w:t>Estados membros da SADC</w:t>
      </w:r>
      <w:r>
        <w:t xml:space="preserve">. O memorando de entendimento </w:t>
      </w:r>
      <w:r w:rsidR="002647BB">
        <w:t>interoperadoras</w:t>
      </w:r>
      <w:r>
        <w:t xml:space="preserve"> (IUMOU) do </w:t>
      </w:r>
      <w:r w:rsidRPr="002647BB">
        <w:rPr>
          <w:i/>
          <w:iCs/>
        </w:rPr>
        <w:t>SAPP</w:t>
      </w:r>
      <w:r>
        <w:t xml:space="preserve"> foi primeiro revisto em 2007 e voltou a ser revisto recentemente em Outubro de 2021. Na última revisão as operadoras (</w:t>
      </w:r>
      <w:proofErr w:type="spellStart"/>
      <w:r>
        <w:t>utilities</w:t>
      </w:r>
      <w:proofErr w:type="spellEnd"/>
      <w:r>
        <w:t xml:space="preserve">) nacionais de energia dos </w:t>
      </w:r>
      <w:r w:rsidRPr="002647BB">
        <w:rPr>
          <w:i/>
          <w:iCs/>
        </w:rPr>
        <w:t>Estados membros da SADC</w:t>
      </w:r>
      <w:r>
        <w:t xml:space="preserve"> que são signatários do referido IUMOU concordam o seguinte:</w:t>
      </w:r>
    </w:p>
    <w:p w14:paraId="0E91A241" w14:textId="533E74F3" w:rsidR="00570C1B" w:rsidRPr="002C09C1" w:rsidRDefault="00570C1B" w:rsidP="002C09C1">
      <w:pPr>
        <w:pStyle w:val="Numbered"/>
        <w:numPr>
          <w:ilvl w:val="1"/>
          <w:numId w:val="38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 xml:space="preserve">Coordenar e cooperar no planeamento, desenvolvimento e exploração dos seus sistemas por forma a minimizar os custos, ao mesmo tempo que mantêm a fiabilidade, a autonomia e a auto-suficiência no grau que desejam; </w:t>
      </w:r>
    </w:p>
    <w:p w14:paraId="1ADE184C" w14:textId="0E5FF7A6" w:rsidR="00570C1B" w:rsidRPr="002C09C1" w:rsidRDefault="00570C1B" w:rsidP="002C09C1">
      <w:pPr>
        <w:pStyle w:val="Numbered"/>
        <w:numPr>
          <w:ilvl w:val="1"/>
          <w:numId w:val="38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 xml:space="preserve">Recuperar totalmente os seus custos e partilhar equitativamente os benefícios resultantes, incluindo as reduções da capacidade necessária </w:t>
      </w:r>
      <w:r>
        <w:rPr>
          <w:color w:val="000000" w:themeColor="text1"/>
        </w:rPr>
        <w:lastRenderedPageBreak/>
        <w:t>das reservas de produção, as reduções nos custos de combustível e o uso optimizado das energias renováveis (incluindo a energia hidroeléctrica), o gás e outras fontes de energia disponíveis na região;</w:t>
      </w:r>
    </w:p>
    <w:p w14:paraId="2C8A1A0E" w14:textId="559CB77F" w:rsidR="00570C1B" w:rsidRPr="002C09C1" w:rsidRDefault="00570C1B" w:rsidP="002C09C1">
      <w:pPr>
        <w:pStyle w:val="Numbered"/>
        <w:numPr>
          <w:ilvl w:val="1"/>
          <w:numId w:val="38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 xml:space="preserve"> Coordenar e cooperar no planeamento, desenvolvimento e exploração de um mercado regional de electricidade competitivo baseado nos requisitos dos </w:t>
      </w:r>
      <w:r w:rsidRPr="002647BB">
        <w:rPr>
          <w:i/>
          <w:iCs/>
          <w:color w:val="000000" w:themeColor="text1"/>
        </w:rPr>
        <w:t>Estados membros da SADC</w:t>
      </w:r>
      <w:r>
        <w:rPr>
          <w:color w:val="000000" w:themeColor="text1"/>
        </w:rPr>
        <w:t xml:space="preserve">; </w:t>
      </w:r>
    </w:p>
    <w:p w14:paraId="3ACC2012" w14:textId="488FAEB9" w:rsidR="00570C1B" w:rsidRPr="002C09C1" w:rsidRDefault="00570C1B" w:rsidP="002C09C1">
      <w:pPr>
        <w:pStyle w:val="Numbered"/>
        <w:numPr>
          <w:ilvl w:val="1"/>
          <w:numId w:val="38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 xml:space="preserve">Abordar, em boa-fé, questões atinentes às </w:t>
      </w:r>
      <w:r w:rsidRPr="002647BB">
        <w:rPr>
          <w:i/>
          <w:iCs/>
          <w:color w:val="000000" w:themeColor="text1"/>
        </w:rPr>
        <w:t>interconexões</w:t>
      </w:r>
      <w:r>
        <w:rPr>
          <w:color w:val="000000" w:themeColor="text1"/>
        </w:rPr>
        <w:t xml:space="preserve"> num espírito de cooperação e transparência; e </w:t>
      </w:r>
    </w:p>
    <w:p w14:paraId="382DB03C" w14:textId="23101D0C" w:rsidR="007F1EEC" w:rsidRPr="002C09C1" w:rsidRDefault="00570C1B" w:rsidP="002C09C1">
      <w:pPr>
        <w:pStyle w:val="Numbered"/>
        <w:numPr>
          <w:ilvl w:val="1"/>
          <w:numId w:val="38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Agir em solidariedade e abster-se de se aproveitarem uns dos outros</w:t>
      </w:r>
      <w:r w:rsidR="002647BB">
        <w:rPr>
          <w:color w:val="000000" w:themeColor="text1"/>
        </w:rPr>
        <w:t>.</w:t>
      </w:r>
    </w:p>
    <w:p w14:paraId="43F58A75" w14:textId="64161391" w:rsidR="009C3184" w:rsidRPr="009C3184" w:rsidRDefault="009C3184" w:rsidP="009C3184">
      <w:pPr>
        <w:pStyle w:val="Heading1"/>
      </w:pPr>
      <w:bookmarkStart w:id="8" w:name="_Toc95945412"/>
      <w:bookmarkStart w:id="9" w:name="_Toc95985559"/>
      <w:bookmarkStart w:id="10" w:name="_Toc94041300"/>
      <w:bookmarkStart w:id="11" w:name="_Toc94041470"/>
      <w:bookmarkStart w:id="12" w:name="_Toc94042202"/>
      <w:bookmarkStart w:id="13" w:name="_Toc94042673"/>
      <w:bookmarkStart w:id="14" w:name="_Toc94042857"/>
      <w:bookmarkStart w:id="15" w:name="_Toc94042980"/>
      <w:bookmarkStart w:id="16" w:name="_Toc94043102"/>
      <w:bookmarkStart w:id="17" w:name="_Toc94043147"/>
      <w:bookmarkStart w:id="18" w:name="_Toc94043193"/>
      <w:bookmarkStart w:id="19" w:name="_Toc94041301"/>
      <w:bookmarkStart w:id="20" w:name="_Toc94041471"/>
      <w:bookmarkStart w:id="21" w:name="_Toc94042203"/>
      <w:bookmarkStart w:id="22" w:name="_Toc94042674"/>
      <w:bookmarkStart w:id="23" w:name="_Toc94042858"/>
      <w:bookmarkStart w:id="24" w:name="_Toc94042981"/>
      <w:bookmarkStart w:id="25" w:name="_Toc94043103"/>
      <w:bookmarkStart w:id="26" w:name="_Toc94043148"/>
      <w:bookmarkStart w:id="27" w:name="_Toc94043194"/>
      <w:bookmarkStart w:id="28" w:name="_Toc94041302"/>
      <w:bookmarkStart w:id="29" w:name="_Toc94041472"/>
      <w:bookmarkStart w:id="30" w:name="_Toc94042204"/>
      <w:bookmarkStart w:id="31" w:name="_Toc94042675"/>
      <w:bookmarkStart w:id="32" w:name="_Toc94042859"/>
      <w:bookmarkStart w:id="33" w:name="_Toc94042982"/>
      <w:bookmarkStart w:id="34" w:name="_Toc94043104"/>
      <w:bookmarkStart w:id="35" w:name="_Toc94043149"/>
      <w:bookmarkStart w:id="36" w:name="_Toc94043195"/>
      <w:bookmarkStart w:id="37" w:name="_Toc94041303"/>
      <w:bookmarkStart w:id="38" w:name="_Toc94041473"/>
      <w:bookmarkStart w:id="39" w:name="_Toc94042205"/>
      <w:bookmarkStart w:id="40" w:name="_Toc94042676"/>
      <w:bookmarkStart w:id="41" w:name="_Toc94042860"/>
      <w:bookmarkStart w:id="42" w:name="_Toc94042983"/>
      <w:bookmarkStart w:id="43" w:name="_Toc94043105"/>
      <w:bookmarkStart w:id="44" w:name="_Toc94043150"/>
      <w:bookmarkStart w:id="45" w:name="_Toc94043196"/>
      <w:bookmarkStart w:id="46" w:name="_Toc94041304"/>
      <w:bookmarkStart w:id="47" w:name="_Toc94041474"/>
      <w:bookmarkStart w:id="48" w:name="_Toc94042206"/>
      <w:bookmarkStart w:id="49" w:name="_Toc94042677"/>
      <w:bookmarkStart w:id="50" w:name="_Toc94042861"/>
      <w:bookmarkStart w:id="51" w:name="_Toc94042984"/>
      <w:bookmarkStart w:id="52" w:name="_Toc94043106"/>
      <w:bookmarkStart w:id="53" w:name="_Toc94043151"/>
      <w:bookmarkStart w:id="54" w:name="_Toc94043197"/>
      <w:bookmarkStart w:id="55" w:name="_Toc94041305"/>
      <w:bookmarkStart w:id="56" w:name="_Toc94041475"/>
      <w:bookmarkStart w:id="57" w:name="_Toc94042207"/>
      <w:bookmarkStart w:id="58" w:name="_Toc94042678"/>
      <w:bookmarkStart w:id="59" w:name="_Toc94042862"/>
      <w:bookmarkStart w:id="60" w:name="_Toc94042985"/>
      <w:bookmarkStart w:id="61" w:name="_Toc94043107"/>
      <w:bookmarkStart w:id="62" w:name="_Toc94043152"/>
      <w:bookmarkStart w:id="63" w:name="_Toc94043198"/>
      <w:bookmarkStart w:id="64" w:name="_Toc94041306"/>
      <w:bookmarkStart w:id="65" w:name="_Toc94041476"/>
      <w:bookmarkStart w:id="66" w:name="_Toc94042208"/>
      <w:bookmarkStart w:id="67" w:name="_Toc94042679"/>
      <w:bookmarkStart w:id="68" w:name="_Toc94042863"/>
      <w:bookmarkStart w:id="69" w:name="_Toc94042986"/>
      <w:bookmarkStart w:id="70" w:name="_Toc94043108"/>
      <w:bookmarkStart w:id="71" w:name="_Toc94043153"/>
      <w:bookmarkStart w:id="72" w:name="_Toc94043199"/>
      <w:bookmarkStart w:id="73" w:name="_Toc94041307"/>
      <w:bookmarkStart w:id="74" w:name="_Toc94041477"/>
      <w:bookmarkStart w:id="75" w:name="_Toc94042209"/>
      <w:bookmarkStart w:id="76" w:name="_Toc94042680"/>
      <w:bookmarkStart w:id="77" w:name="_Toc94042864"/>
      <w:bookmarkStart w:id="78" w:name="_Toc94042987"/>
      <w:bookmarkStart w:id="79" w:name="_Toc94043109"/>
      <w:bookmarkStart w:id="80" w:name="_Toc94043154"/>
      <w:bookmarkStart w:id="81" w:name="_Toc94043200"/>
      <w:bookmarkStart w:id="82" w:name="_Toc94041308"/>
      <w:bookmarkStart w:id="83" w:name="_Toc94041478"/>
      <w:bookmarkStart w:id="84" w:name="_Toc94042210"/>
      <w:bookmarkStart w:id="85" w:name="_Toc94042681"/>
      <w:bookmarkStart w:id="86" w:name="_Toc94042865"/>
      <w:bookmarkStart w:id="87" w:name="_Toc94042988"/>
      <w:bookmarkStart w:id="88" w:name="_Toc94043110"/>
      <w:bookmarkStart w:id="89" w:name="_Toc94043155"/>
      <w:bookmarkStart w:id="90" w:name="_Toc94043201"/>
      <w:bookmarkStart w:id="91" w:name="_Toc94041309"/>
      <w:bookmarkStart w:id="92" w:name="_Toc94041479"/>
      <w:bookmarkStart w:id="93" w:name="_Toc94042211"/>
      <w:bookmarkStart w:id="94" w:name="_Toc94042682"/>
      <w:bookmarkStart w:id="95" w:name="_Toc94042866"/>
      <w:bookmarkStart w:id="96" w:name="_Toc94042989"/>
      <w:bookmarkStart w:id="97" w:name="_Toc94043111"/>
      <w:bookmarkStart w:id="98" w:name="_Toc94043156"/>
      <w:bookmarkStart w:id="99" w:name="_Toc94043202"/>
      <w:bookmarkStart w:id="100" w:name="_Toc96841405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r>
        <w:t xml:space="preserve">Objectivos do </w:t>
      </w:r>
      <w:r w:rsidRPr="002647BB">
        <w:rPr>
          <w:i/>
          <w:iCs/>
        </w:rPr>
        <w:t>código da rede regional</w:t>
      </w:r>
      <w:bookmarkEnd w:id="100"/>
    </w:p>
    <w:p w14:paraId="4929A1D8" w14:textId="275313D2" w:rsidR="00EE0958" w:rsidRPr="00080681" w:rsidRDefault="00EE0958" w:rsidP="00E1250E">
      <w:pPr>
        <w:pStyle w:val="Heading3"/>
      </w:pPr>
      <w:r>
        <w:t xml:space="preserve">O </w:t>
      </w:r>
      <w:r w:rsidRPr="002647BB">
        <w:rPr>
          <w:i/>
          <w:iCs/>
        </w:rPr>
        <w:t>código da rede regional</w:t>
      </w:r>
      <w:r>
        <w:t xml:space="preserve"> é necessário p</w:t>
      </w:r>
      <w:r w:rsidR="002647BB">
        <w:t>a</w:t>
      </w:r>
      <w:r>
        <w:t xml:space="preserve">ra definir os requisitos técnicos e as regras para os </w:t>
      </w:r>
      <w:r w:rsidR="002647BB" w:rsidRPr="002647BB">
        <w:rPr>
          <w:i/>
          <w:iCs/>
        </w:rPr>
        <w:t>utilizadores</w:t>
      </w:r>
      <w:r>
        <w:t xml:space="preserve"> da </w:t>
      </w:r>
      <w:r w:rsidRPr="002647BB">
        <w:rPr>
          <w:i/>
          <w:iCs/>
        </w:rPr>
        <w:t>interconexão</w:t>
      </w:r>
      <w:r>
        <w:t xml:space="preserve"> regional e o comércio de electricidade. O </w:t>
      </w:r>
      <w:r w:rsidRPr="002647BB">
        <w:rPr>
          <w:i/>
          <w:iCs/>
        </w:rPr>
        <w:t>código da rede regional</w:t>
      </w:r>
      <w:r>
        <w:t xml:space="preserve"> estabelece portanto as regras e os procedimentos que permite</w:t>
      </w:r>
      <w:r w:rsidR="002647BB">
        <w:t>m</w:t>
      </w:r>
      <w:r>
        <w:t xml:space="preserve"> o planeamento e a exploração fiáveis do sistema de energia. É também um instrumento mais eficaz do que os acordos bilaterais, particularmente quando actores mais independentes entram em jogo e quando são realizadas mais reformas.</w:t>
      </w:r>
    </w:p>
    <w:p w14:paraId="1AD3FE7F" w14:textId="2AF703F6" w:rsidR="00D34913" w:rsidRPr="00A561B7" w:rsidRDefault="009C3184" w:rsidP="00036C94">
      <w:pPr>
        <w:pStyle w:val="Heading3"/>
      </w:pPr>
      <w:r>
        <w:t xml:space="preserve">O </w:t>
      </w:r>
      <w:r w:rsidRPr="00114406">
        <w:rPr>
          <w:i/>
          <w:iCs/>
        </w:rPr>
        <w:t>código da rede regional da SADC</w:t>
      </w:r>
      <w:r>
        <w:t xml:space="preserve"> tem os seguintes objectivos:</w:t>
      </w:r>
    </w:p>
    <w:p w14:paraId="0BB2186E" w14:textId="306FDDEE" w:rsidR="00DA40C6" w:rsidRPr="00E1250E" w:rsidRDefault="00DA40C6" w:rsidP="002C09C1">
      <w:pPr>
        <w:pStyle w:val="Numbered"/>
        <w:numPr>
          <w:ilvl w:val="0"/>
          <w:numId w:val="76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 xml:space="preserve">Assegurar a criação de condições iguais de concorrência </w:t>
      </w:r>
      <w:r w:rsidR="00114406">
        <w:rPr>
          <w:color w:val="000000" w:themeColor="text1"/>
        </w:rPr>
        <w:t xml:space="preserve">entre </w:t>
      </w:r>
      <w:r>
        <w:rPr>
          <w:color w:val="000000" w:themeColor="text1"/>
        </w:rPr>
        <w:t xml:space="preserve">os </w:t>
      </w:r>
      <w:r w:rsidR="00114406" w:rsidRPr="00114406">
        <w:rPr>
          <w:i/>
          <w:iCs/>
          <w:color w:val="000000" w:themeColor="text1"/>
        </w:rPr>
        <w:t>utilizadores</w:t>
      </w:r>
      <w:r>
        <w:rPr>
          <w:color w:val="000000" w:themeColor="text1"/>
        </w:rPr>
        <w:t xml:space="preserve"> existentes e </w:t>
      </w:r>
      <w:r w:rsidR="00114406">
        <w:rPr>
          <w:color w:val="000000" w:themeColor="text1"/>
        </w:rPr>
        <w:t xml:space="preserve">os </w:t>
      </w:r>
      <w:r>
        <w:rPr>
          <w:color w:val="000000" w:themeColor="text1"/>
        </w:rPr>
        <w:t xml:space="preserve">novos que procuram regras técnicas claras para a </w:t>
      </w:r>
      <w:r w:rsidRPr="00114406">
        <w:rPr>
          <w:i/>
          <w:iCs/>
          <w:color w:val="000000" w:themeColor="text1"/>
        </w:rPr>
        <w:t>conexão</w:t>
      </w:r>
      <w:r>
        <w:rPr>
          <w:color w:val="000000" w:themeColor="text1"/>
        </w:rPr>
        <w:t xml:space="preserve"> a, e o uso das redes de transporte da região.</w:t>
      </w:r>
    </w:p>
    <w:p w14:paraId="78A5CCE3" w14:textId="2EC8EC10" w:rsidR="00DA40C6" w:rsidRPr="00E1250E" w:rsidRDefault="00DA40C6" w:rsidP="002C09C1">
      <w:pPr>
        <w:pStyle w:val="Numbered"/>
        <w:numPr>
          <w:ilvl w:val="0"/>
          <w:numId w:val="76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Permitir um</w:t>
      </w:r>
      <w:r w:rsidR="00114406">
        <w:rPr>
          <w:color w:val="000000" w:themeColor="text1"/>
        </w:rPr>
        <w:t>a</w:t>
      </w:r>
      <w:r>
        <w:rPr>
          <w:color w:val="000000" w:themeColor="text1"/>
        </w:rPr>
        <w:t xml:space="preserve"> integração progressiva e harmoniosa das energias renováveis através da resolução das questões associadas à </w:t>
      </w:r>
      <w:r w:rsidR="00114406">
        <w:rPr>
          <w:color w:val="000000" w:themeColor="text1"/>
        </w:rPr>
        <w:t>contemplação</w:t>
      </w:r>
      <w:r>
        <w:rPr>
          <w:color w:val="000000" w:themeColor="text1"/>
        </w:rPr>
        <w:t xml:space="preserve"> da sua variabilidade e intermitência dentro das redes de transporte da região da SADC.</w:t>
      </w:r>
    </w:p>
    <w:p w14:paraId="09F58C21" w14:textId="7C08C424" w:rsidR="00DA40C6" w:rsidRPr="00E1250E" w:rsidRDefault="00DA40C6" w:rsidP="002C09C1">
      <w:pPr>
        <w:pStyle w:val="Numbered"/>
        <w:numPr>
          <w:ilvl w:val="0"/>
          <w:numId w:val="76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Ter em conta as tecnologias de corrente contínua de alta tensão (CCAT) a ser conectada às redes de transporte da região.</w:t>
      </w:r>
    </w:p>
    <w:p w14:paraId="2C0D8716" w14:textId="42CFEFF5" w:rsidR="00DA40C6" w:rsidRPr="00E1250E" w:rsidRDefault="00DA40C6" w:rsidP="002C09C1">
      <w:pPr>
        <w:pStyle w:val="Numbered"/>
        <w:numPr>
          <w:ilvl w:val="0"/>
          <w:numId w:val="76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 xml:space="preserve">Criar um </w:t>
      </w:r>
      <w:r w:rsidRPr="00114406">
        <w:rPr>
          <w:i/>
          <w:iCs/>
          <w:color w:val="000000" w:themeColor="text1"/>
        </w:rPr>
        <w:t>código da rede regional</w:t>
      </w:r>
      <w:r>
        <w:rPr>
          <w:color w:val="000000" w:themeColor="text1"/>
        </w:rPr>
        <w:t xml:space="preserve"> sólido que possa ser implementado </w:t>
      </w:r>
      <w:r w:rsidR="00114406">
        <w:rPr>
          <w:color w:val="000000" w:themeColor="text1"/>
        </w:rPr>
        <w:t>a</w:t>
      </w:r>
      <w:r>
        <w:rPr>
          <w:color w:val="000000" w:themeColor="text1"/>
        </w:rPr>
        <w:t xml:space="preserve"> nível nacional de forma </w:t>
      </w:r>
      <w:r w:rsidR="00114406">
        <w:rPr>
          <w:color w:val="000000" w:themeColor="text1"/>
        </w:rPr>
        <w:t>p</w:t>
      </w:r>
      <w:r>
        <w:rPr>
          <w:color w:val="000000" w:themeColor="text1"/>
        </w:rPr>
        <w:t>rogressiva e reduzir os riscos regulatórios e os riscos de investimento aos quais os operadores do mercado estão expostos.</w:t>
      </w:r>
    </w:p>
    <w:p w14:paraId="29E9D0A1" w14:textId="601C06F8" w:rsidR="00DA40C6" w:rsidRPr="00E1250E" w:rsidRDefault="00DA40C6" w:rsidP="002C09C1">
      <w:pPr>
        <w:pStyle w:val="Numbered"/>
        <w:numPr>
          <w:ilvl w:val="0"/>
          <w:numId w:val="76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 xml:space="preserve">Dar maior visibilidade </w:t>
      </w:r>
      <w:r w:rsidR="00114406">
        <w:rPr>
          <w:color w:val="000000" w:themeColor="text1"/>
        </w:rPr>
        <w:t>a</w:t>
      </w:r>
      <w:r>
        <w:rPr>
          <w:color w:val="000000" w:themeColor="text1"/>
        </w:rPr>
        <w:t xml:space="preserve">os requisitos técnicos comuns do que se consegue atingir se as obrigações técnicas foram apenas definidas em contratos bilaterais. Uma vez que o SAPP introduziu mercados </w:t>
      </w:r>
      <w:r w:rsidRPr="00114406">
        <w:rPr>
          <w:i/>
          <w:iCs/>
          <w:color w:val="000000" w:themeColor="text1"/>
        </w:rPr>
        <w:t>do dia anterior</w:t>
      </w:r>
      <w:r>
        <w:rPr>
          <w:color w:val="000000" w:themeColor="text1"/>
        </w:rPr>
        <w:t xml:space="preserve">, </w:t>
      </w:r>
      <w:proofErr w:type="spellStart"/>
      <w:r w:rsidRPr="00114406">
        <w:rPr>
          <w:i/>
          <w:iCs/>
          <w:color w:val="000000" w:themeColor="text1"/>
        </w:rPr>
        <w:t>intra</w:t>
      </w:r>
      <w:r w:rsidR="00114406" w:rsidRPr="00114406">
        <w:rPr>
          <w:i/>
          <w:iCs/>
          <w:color w:val="000000" w:themeColor="text1"/>
        </w:rPr>
        <w:t>-</w:t>
      </w:r>
      <w:r w:rsidRPr="00114406">
        <w:rPr>
          <w:i/>
          <w:iCs/>
          <w:color w:val="000000" w:themeColor="text1"/>
        </w:rPr>
        <w:t>diários</w:t>
      </w:r>
      <w:proofErr w:type="spellEnd"/>
      <w:r>
        <w:rPr>
          <w:color w:val="000000" w:themeColor="text1"/>
        </w:rPr>
        <w:t xml:space="preserve"> e </w:t>
      </w:r>
      <w:r w:rsidRPr="00114406">
        <w:rPr>
          <w:i/>
          <w:iCs/>
          <w:color w:val="000000" w:themeColor="text1"/>
        </w:rPr>
        <w:t>de equilibração</w:t>
      </w:r>
      <w:r>
        <w:rPr>
          <w:color w:val="000000" w:themeColor="text1"/>
        </w:rPr>
        <w:t xml:space="preserve">, a dependência para com </w:t>
      </w:r>
      <w:r w:rsidR="00114406">
        <w:rPr>
          <w:color w:val="000000" w:themeColor="text1"/>
        </w:rPr>
        <w:t xml:space="preserve">os </w:t>
      </w:r>
      <w:r>
        <w:rPr>
          <w:color w:val="000000" w:themeColor="text1"/>
        </w:rPr>
        <w:t>contratos bilaterais físicos com anexos técnicos está em baixa, e há portanto a necessidade clara de trazer disposições de códigos de redes a uma base regional estabelecida.</w:t>
      </w:r>
    </w:p>
    <w:p w14:paraId="651461A6" w14:textId="2E444BA2" w:rsidR="009A6BF9" w:rsidRDefault="009A6BF9" w:rsidP="002C09C1">
      <w:pPr>
        <w:pStyle w:val="Numbered"/>
        <w:numPr>
          <w:ilvl w:val="0"/>
          <w:numId w:val="76"/>
        </w:numPr>
        <w:spacing w:after="160" w:line="259" w:lineRule="auto"/>
      </w:pPr>
      <w:r>
        <w:lastRenderedPageBreak/>
        <w:t xml:space="preserve">Estabelecer as obrigações das </w:t>
      </w:r>
      <w:proofErr w:type="spellStart"/>
      <w:r>
        <w:t>TSOs</w:t>
      </w:r>
      <w:proofErr w:type="spellEnd"/>
      <w:r>
        <w:t xml:space="preserve">, </w:t>
      </w:r>
      <w:r w:rsidR="00114406">
        <w:t>d</w:t>
      </w:r>
      <w:r>
        <w:t xml:space="preserve">os operadores do sistema e dos operadores da área de controlo, operadores do mercado e </w:t>
      </w:r>
      <w:r w:rsidRPr="00114406">
        <w:rPr>
          <w:i/>
          <w:iCs/>
        </w:rPr>
        <w:t>membros activos do SAPP</w:t>
      </w:r>
      <w:r>
        <w:t xml:space="preserve">, </w:t>
      </w:r>
      <w:r w:rsidRPr="00114406">
        <w:rPr>
          <w:i/>
          <w:iCs/>
        </w:rPr>
        <w:t>utilizadores</w:t>
      </w:r>
      <w:r>
        <w:t xml:space="preserve"> dos </w:t>
      </w:r>
      <w:r w:rsidRPr="00114406">
        <w:rPr>
          <w:i/>
          <w:iCs/>
        </w:rPr>
        <w:t>sistemas de transporte interconectado da SADC</w:t>
      </w:r>
      <w:r>
        <w:t xml:space="preserve"> (produtores, </w:t>
      </w:r>
      <w:proofErr w:type="spellStart"/>
      <w:r>
        <w:t>PPIs</w:t>
      </w:r>
      <w:proofErr w:type="spellEnd"/>
      <w:r>
        <w:t xml:space="preserve"> e clientes directamente conectados, incluindo o </w:t>
      </w:r>
      <w:r w:rsidRPr="00114406">
        <w:rPr>
          <w:i/>
          <w:iCs/>
        </w:rPr>
        <w:t>armazenamento</w:t>
      </w:r>
      <w:r>
        <w:t xml:space="preserve">, operadores de CCAT, </w:t>
      </w:r>
      <w:r w:rsidRPr="00114406">
        <w:rPr>
          <w:i/>
          <w:iCs/>
        </w:rPr>
        <w:t>consumidores finais</w:t>
      </w:r>
      <w:r>
        <w:t xml:space="preserve"> e </w:t>
      </w:r>
      <w:r w:rsidRPr="00114406">
        <w:rPr>
          <w:i/>
          <w:iCs/>
        </w:rPr>
        <w:t>distribuidores</w:t>
      </w:r>
      <w:r>
        <w:t xml:space="preserve">). </w:t>
      </w:r>
    </w:p>
    <w:p w14:paraId="59F309F3" w14:textId="0D166324" w:rsidR="009A6BF9" w:rsidRDefault="009A6BF9" w:rsidP="002C09C1">
      <w:pPr>
        <w:pStyle w:val="Numbered"/>
        <w:widowControl w:val="0"/>
        <w:numPr>
          <w:ilvl w:val="0"/>
          <w:numId w:val="76"/>
        </w:numPr>
        <w:spacing w:after="160" w:line="259" w:lineRule="auto"/>
      </w:pPr>
      <w:r>
        <w:t xml:space="preserve">Definir as obrigações, responsabilidades e responsabilizações de todas as </w:t>
      </w:r>
      <w:r w:rsidRPr="00114406">
        <w:rPr>
          <w:i/>
          <w:iCs/>
        </w:rPr>
        <w:t>pa</w:t>
      </w:r>
      <w:r w:rsidR="00114406" w:rsidRPr="00114406">
        <w:rPr>
          <w:i/>
          <w:iCs/>
        </w:rPr>
        <w:t>r</w:t>
      </w:r>
      <w:r w:rsidRPr="00114406">
        <w:rPr>
          <w:i/>
          <w:iCs/>
        </w:rPr>
        <w:t>tes</w:t>
      </w:r>
      <w:r>
        <w:t xml:space="preserve"> no sentido de garantir um acesso e uso aberto, transparente, não-discriminatório e económico da rede de transporte, ao mesmo tempo que se mantém uma operação segura, fiável e eficiente.</w:t>
      </w:r>
    </w:p>
    <w:p w14:paraId="1662FBD8" w14:textId="775DC9AC" w:rsidR="00A66738" w:rsidRPr="000D0CFB" w:rsidRDefault="009C3184" w:rsidP="002C09C1">
      <w:pPr>
        <w:pStyle w:val="Heading1"/>
        <w:keepNext w:val="0"/>
        <w:widowControl w:val="0"/>
        <w:ind w:left="357" w:hanging="357"/>
      </w:pPr>
      <w:bookmarkStart w:id="101" w:name="_Toc94041311"/>
      <w:bookmarkStart w:id="102" w:name="_Toc94041481"/>
      <w:bookmarkStart w:id="103" w:name="_Toc94042213"/>
      <w:bookmarkStart w:id="104" w:name="_Toc94042684"/>
      <w:bookmarkStart w:id="105" w:name="_Toc94042868"/>
      <w:bookmarkStart w:id="106" w:name="_Toc94042991"/>
      <w:bookmarkStart w:id="107" w:name="_Toc94043113"/>
      <w:bookmarkStart w:id="108" w:name="_Toc94043158"/>
      <w:bookmarkStart w:id="109" w:name="_Toc94043204"/>
      <w:bookmarkStart w:id="110" w:name="_Toc94041312"/>
      <w:bookmarkStart w:id="111" w:name="_Toc94041482"/>
      <w:bookmarkStart w:id="112" w:name="_Toc94042214"/>
      <w:bookmarkStart w:id="113" w:name="_Toc94042685"/>
      <w:bookmarkStart w:id="114" w:name="_Toc94042869"/>
      <w:bookmarkStart w:id="115" w:name="_Toc94042992"/>
      <w:bookmarkStart w:id="116" w:name="_Toc94043114"/>
      <w:bookmarkStart w:id="117" w:name="_Toc94043159"/>
      <w:bookmarkStart w:id="118" w:name="_Toc94043205"/>
      <w:bookmarkStart w:id="119" w:name="_Toc94041314"/>
      <w:bookmarkStart w:id="120" w:name="_Toc94041484"/>
      <w:bookmarkStart w:id="121" w:name="_Toc94042216"/>
      <w:bookmarkStart w:id="122" w:name="_Toc94042687"/>
      <w:bookmarkStart w:id="123" w:name="_Toc94042871"/>
      <w:bookmarkStart w:id="124" w:name="_Toc94042994"/>
      <w:bookmarkStart w:id="125" w:name="_Toc94043116"/>
      <w:bookmarkStart w:id="126" w:name="_Toc94043161"/>
      <w:bookmarkStart w:id="127" w:name="_Toc94043207"/>
      <w:bookmarkStart w:id="128" w:name="_Toc94041315"/>
      <w:bookmarkStart w:id="129" w:name="_Toc94041485"/>
      <w:bookmarkStart w:id="130" w:name="_Toc94042217"/>
      <w:bookmarkStart w:id="131" w:name="_Toc94042688"/>
      <w:bookmarkStart w:id="132" w:name="_Toc94042872"/>
      <w:bookmarkStart w:id="133" w:name="_Toc94042995"/>
      <w:bookmarkStart w:id="134" w:name="_Toc94043117"/>
      <w:bookmarkStart w:id="135" w:name="_Toc94043162"/>
      <w:bookmarkStart w:id="136" w:name="_Toc94043208"/>
      <w:bookmarkStart w:id="137" w:name="_Toc94041316"/>
      <w:bookmarkStart w:id="138" w:name="_Toc94041486"/>
      <w:bookmarkStart w:id="139" w:name="_Toc94042218"/>
      <w:bookmarkStart w:id="140" w:name="_Toc94042689"/>
      <w:bookmarkStart w:id="141" w:name="_Toc94042873"/>
      <w:bookmarkStart w:id="142" w:name="_Toc94042996"/>
      <w:bookmarkStart w:id="143" w:name="_Toc94043118"/>
      <w:bookmarkStart w:id="144" w:name="_Toc94043163"/>
      <w:bookmarkStart w:id="145" w:name="_Toc94043209"/>
      <w:bookmarkStart w:id="146" w:name="_Toc94041317"/>
      <w:bookmarkStart w:id="147" w:name="_Toc94041487"/>
      <w:bookmarkStart w:id="148" w:name="_Toc94042219"/>
      <w:bookmarkStart w:id="149" w:name="_Toc94042690"/>
      <w:bookmarkStart w:id="150" w:name="_Toc94042874"/>
      <w:bookmarkStart w:id="151" w:name="_Toc94042997"/>
      <w:bookmarkStart w:id="152" w:name="_Toc94043119"/>
      <w:bookmarkStart w:id="153" w:name="_Toc94043164"/>
      <w:bookmarkStart w:id="154" w:name="_Toc94043210"/>
      <w:bookmarkStart w:id="155" w:name="_Toc94041318"/>
      <w:bookmarkStart w:id="156" w:name="_Toc94041488"/>
      <w:bookmarkStart w:id="157" w:name="_Toc94042220"/>
      <w:bookmarkStart w:id="158" w:name="_Toc94042691"/>
      <w:bookmarkStart w:id="159" w:name="_Toc94042875"/>
      <w:bookmarkStart w:id="160" w:name="_Toc94042998"/>
      <w:bookmarkStart w:id="161" w:name="_Toc94043120"/>
      <w:bookmarkStart w:id="162" w:name="_Toc94043165"/>
      <w:bookmarkStart w:id="163" w:name="_Toc94043211"/>
      <w:bookmarkStart w:id="164" w:name="_Toc94041319"/>
      <w:bookmarkStart w:id="165" w:name="_Toc94041489"/>
      <w:bookmarkStart w:id="166" w:name="_Toc94042221"/>
      <w:bookmarkStart w:id="167" w:name="_Toc94042692"/>
      <w:bookmarkStart w:id="168" w:name="_Toc94042876"/>
      <w:bookmarkStart w:id="169" w:name="_Toc94042999"/>
      <w:bookmarkStart w:id="170" w:name="_Toc94043121"/>
      <w:bookmarkStart w:id="171" w:name="_Toc94043166"/>
      <w:bookmarkStart w:id="172" w:name="_Toc94043212"/>
      <w:bookmarkStart w:id="173" w:name="_Toc96841406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r>
        <w:t xml:space="preserve">Estrutura do </w:t>
      </w:r>
      <w:r w:rsidRPr="00114406">
        <w:rPr>
          <w:i/>
          <w:iCs/>
        </w:rPr>
        <w:t>código da rede regional</w:t>
      </w:r>
      <w:bookmarkEnd w:id="173"/>
    </w:p>
    <w:p w14:paraId="6E6453C0" w14:textId="4BC0C2EF" w:rsidR="003E2B88" w:rsidRPr="00980B05" w:rsidRDefault="00E817FC" w:rsidP="002C09C1">
      <w:pPr>
        <w:pStyle w:val="Heading3"/>
        <w:keepNext w:val="0"/>
        <w:widowControl w:val="0"/>
      </w:pPr>
      <w:bookmarkStart w:id="174" w:name="_Hlk94279631"/>
      <w:r>
        <w:t xml:space="preserve">O </w:t>
      </w:r>
      <w:r w:rsidRPr="00114406">
        <w:rPr>
          <w:i/>
          <w:iCs/>
        </w:rPr>
        <w:t>código da rede regional</w:t>
      </w:r>
      <w:r>
        <w:t xml:space="preserve"> subdivide-se nos seguintes códigos:</w:t>
      </w:r>
    </w:p>
    <w:p w14:paraId="7978175C" w14:textId="1D673948" w:rsidR="006D569B" w:rsidRPr="006D569B" w:rsidRDefault="00E817FC" w:rsidP="00BC37DC">
      <w:pPr>
        <w:pStyle w:val="Heading2"/>
        <w:keepNext w:val="0"/>
        <w:widowControl w:val="0"/>
        <w:ind w:left="578" w:hanging="578"/>
      </w:pPr>
      <w:bookmarkStart w:id="175" w:name="_Toc96841407"/>
      <w:bookmarkEnd w:id="174"/>
      <w:r>
        <w:t>Preâmbulo</w:t>
      </w:r>
      <w:bookmarkEnd w:id="175"/>
    </w:p>
    <w:p w14:paraId="28162467" w14:textId="399CD16B" w:rsidR="0037720E" w:rsidRPr="00CF4E38" w:rsidRDefault="0037720E" w:rsidP="0037720E">
      <w:pPr>
        <w:pStyle w:val="Heading3"/>
      </w:pPr>
      <w:r>
        <w:t xml:space="preserve">O Preâmbulo apresenta o contexto do </w:t>
      </w:r>
      <w:r w:rsidRPr="00114406">
        <w:rPr>
          <w:i/>
          <w:iCs/>
        </w:rPr>
        <w:t>código da rede regional</w:t>
      </w:r>
      <w:r>
        <w:t xml:space="preserve"> e suas várias </w:t>
      </w:r>
      <w:r w:rsidR="00114406">
        <w:t>subsecções</w:t>
      </w:r>
      <w:r>
        <w:t xml:space="preserve">. Apresenta igualmente um resumo dos diferentes códigos que compõem o </w:t>
      </w:r>
      <w:r w:rsidRPr="00114406">
        <w:rPr>
          <w:i/>
          <w:iCs/>
        </w:rPr>
        <w:t>código da rede regional</w:t>
      </w:r>
      <w:r>
        <w:t xml:space="preserve">. Explica o pano de fundo da norma para </w:t>
      </w:r>
      <w:r w:rsidR="00114406">
        <w:t xml:space="preserve">a </w:t>
      </w:r>
      <w:r>
        <w:rPr>
          <w:i/>
          <w:iCs/>
        </w:rPr>
        <w:t>interconexão</w:t>
      </w:r>
      <w:r>
        <w:t xml:space="preserve"> na região da </w:t>
      </w:r>
      <w:r w:rsidRPr="00114406">
        <w:rPr>
          <w:i/>
          <w:iCs/>
        </w:rPr>
        <w:t>SADC</w:t>
      </w:r>
      <w:r>
        <w:t xml:space="preserve"> e os objectivos de mais </w:t>
      </w:r>
      <w:r>
        <w:rPr>
          <w:i/>
          <w:iCs/>
        </w:rPr>
        <w:t>interconexão</w:t>
      </w:r>
      <w:r>
        <w:t xml:space="preserve"> na região, bem como a </w:t>
      </w:r>
      <w:r w:rsidR="00114406">
        <w:t>descrição</w:t>
      </w:r>
      <w:r>
        <w:t xml:space="preserve"> das </w:t>
      </w:r>
      <w:r>
        <w:rPr>
          <w:i/>
          <w:iCs/>
        </w:rPr>
        <w:t>interconexões</w:t>
      </w:r>
      <w:r>
        <w:t xml:space="preserve"> existentes e previstas </w:t>
      </w:r>
      <w:r w:rsidR="00114406">
        <w:t>bem como</w:t>
      </w:r>
      <w:r>
        <w:t xml:space="preserve"> os </w:t>
      </w:r>
      <w:r>
        <w:rPr>
          <w:i/>
          <w:iCs/>
        </w:rPr>
        <w:t>sistemas de energia</w:t>
      </w:r>
      <w:r>
        <w:t xml:space="preserve"> e o quadro institucional na região da SADC.  </w:t>
      </w:r>
    </w:p>
    <w:p w14:paraId="298D1811" w14:textId="3DCB43C3" w:rsidR="006D569B" w:rsidRPr="006D569B" w:rsidRDefault="003F12E4" w:rsidP="00BC37DC">
      <w:pPr>
        <w:pStyle w:val="Heading2"/>
      </w:pPr>
      <w:bookmarkStart w:id="176" w:name="_Toc96841408"/>
      <w:r>
        <w:t>Condições Gerais (GC)</w:t>
      </w:r>
      <w:bookmarkEnd w:id="176"/>
    </w:p>
    <w:p w14:paraId="5DC6D85F" w14:textId="2F576E06" w:rsidR="006D569B" w:rsidRPr="00F84F38" w:rsidRDefault="00BC37DC" w:rsidP="00A561B7">
      <w:pPr>
        <w:pStyle w:val="Heading3"/>
      </w:pPr>
      <w:r>
        <w:t xml:space="preserve">As Condições Gerais descrevem as disposições da aplicação geral necessária para a administração geral dos dispositivos de governação do </w:t>
      </w:r>
      <w:r w:rsidRPr="00114406">
        <w:rPr>
          <w:i/>
          <w:iCs/>
        </w:rPr>
        <w:t>código da rede regional</w:t>
      </w:r>
      <w:r>
        <w:t xml:space="preserve"> e a avaliação dos vários aspectos do </w:t>
      </w:r>
      <w:r w:rsidRPr="00114406">
        <w:rPr>
          <w:i/>
          <w:iCs/>
        </w:rPr>
        <w:t>código da rede regional</w:t>
      </w:r>
      <w:r>
        <w:t xml:space="preserve">. As Condições Gerais abordam também as condições gerais do </w:t>
      </w:r>
      <w:r w:rsidRPr="00114406">
        <w:rPr>
          <w:i/>
          <w:iCs/>
        </w:rPr>
        <w:t>código da rede regional</w:t>
      </w:r>
      <w:r>
        <w:t xml:space="preserve"> não tratadas em outras disposições. </w:t>
      </w:r>
    </w:p>
    <w:p w14:paraId="0A5E789B" w14:textId="5FA39561" w:rsidR="00CB23A6" w:rsidRPr="00F944A4" w:rsidRDefault="00CB23A6" w:rsidP="002C09C1">
      <w:pPr>
        <w:pStyle w:val="Heading3"/>
      </w:pPr>
      <w:r>
        <w:t>O Glossário e Definições (GD) contém um glossário dos termos e uma lista de acrónimos e unidades usadas ao longo do código da rede regional, juntamente com as definições e as siglas usadas.</w:t>
      </w:r>
    </w:p>
    <w:p w14:paraId="24ACA9CC" w14:textId="655EE5DF" w:rsidR="006D569B" w:rsidRPr="006D569B" w:rsidRDefault="00E817FC" w:rsidP="002C09C1">
      <w:pPr>
        <w:pStyle w:val="Heading2"/>
      </w:pPr>
      <w:bookmarkStart w:id="177" w:name="_Toc96841409"/>
      <w:r>
        <w:t>Código de Planeamento (PC)</w:t>
      </w:r>
      <w:bookmarkEnd w:id="177"/>
    </w:p>
    <w:p w14:paraId="2767ED57" w14:textId="30CEBC18" w:rsidR="00CB23A6" w:rsidRPr="00F944A4" w:rsidRDefault="00CB23A6" w:rsidP="002C09C1">
      <w:pPr>
        <w:pStyle w:val="Heading3"/>
      </w:pPr>
      <w:r>
        <w:t>O código de planeamento (PC) especifica os critérios, princípios e procedimentos técnicos e concepcionais mínimos a serem usados no desenvolvimento a médio e a longo prazo dos sistemas de transporte dos Estados membros da SADC.</w:t>
      </w:r>
    </w:p>
    <w:p w14:paraId="752C6DB4" w14:textId="2B4923FD" w:rsidR="00CD4F3F" w:rsidRPr="00CD4F3F" w:rsidRDefault="00E817FC" w:rsidP="002C09C1">
      <w:pPr>
        <w:pStyle w:val="Heading2"/>
      </w:pPr>
      <w:bookmarkStart w:id="178" w:name="_Toc96841410"/>
      <w:r>
        <w:t>Código das Operações (incluindo o código de formação dos operadores do sistema) (OC)</w:t>
      </w:r>
      <w:bookmarkEnd w:id="178"/>
    </w:p>
    <w:p w14:paraId="25592AF3" w14:textId="01EBE3E6" w:rsidR="00D6492D" w:rsidRPr="00F944A4" w:rsidRDefault="00D6492D" w:rsidP="002C09C1">
      <w:pPr>
        <w:pStyle w:val="Heading3"/>
      </w:pPr>
      <w:r>
        <w:t xml:space="preserve">O código das operações do código da rede regional da SADC define os requisitos técnicos, as funções e responsabilidades das partes para a operação </w:t>
      </w:r>
      <w:r>
        <w:lastRenderedPageBreak/>
        <w:t xml:space="preserve">do sistema de transporte interconectado do </w:t>
      </w:r>
      <w:r w:rsidRPr="00114406">
        <w:rPr>
          <w:i/>
          <w:iCs/>
        </w:rPr>
        <w:t>SAPP</w:t>
      </w:r>
      <w:r>
        <w:t xml:space="preserve"> e de outras zonas síncronas da </w:t>
      </w:r>
      <w:r w:rsidRPr="00114406">
        <w:rPr>
          <w:i/>
          <w:iCs/>
        </w:rPr>
        <w:t>SADC</w:t>
      </w:r>
      <w:r>
        <w:t>. Inclui também um conjunto de regras sobre a formação dos operadores do sistema.</w:t>
      </w:r>
    </w:p>
    <w:p w14:paraId="475109E4" w14:textId="07B7ADAF" w:rsidR="00CD4F3F" w:rsidRPr="00CD4F3F" w:rsidRDefault="00E817FC" w:rsidP="002C09C1">
      <w:pPr>
        <w:pStyle w:val="Heading2"/>
      </w:pPr>
      <w:bookmarkStart w:id="179" w:name="_Toc96841411"/>
      <w:r>
        <w:t>Código de conexão (CC)</w:t>
      </w:r>
      <w:bookmarkEnd w:id="179"/>
    </w:p>
    <w:p w14:paraId="36B712F4" w14:textId="086F5FD7" w:rsidR="00CF4E38" w:rsidRPr="00F944A4" w:rsidRDefault="0037720E" w:rsidP="002C09C1">
      <w:pPr>
        <w:pStyle w:val="Heading3"/>
      </w:pPr>
      <w:r>
        <w:t xml:space="preserve">O código de conexão (CC) contém um conjunto de condições de conexão para </w:t>
      </w:r>
      <w:r w:rsidR="00114406">
        <w:t>o</w:t>
      </w:r>
      <w:r>
        <w:t xml:space="preserve">s </w:t>
      </w:r>
      <w:r w:rsidRPr="00114406">
        <w:rPr>
          <w:i/>
          <w:iCs/>
        </w:rPr>
        <w:t>produtor</w:t>
      </w:r>
      <w:r w:rsidR="00114406" w:rsidRPr="00114406">
        <w:rPr>
          <w:i/>
          <w:iCs/>
        </w:rPr>
        <w:t>e</w:t>
      </w:r>
      <w:r w:rsidRPr="00114406">
        <w:rPr>
          <w:i/>
          <w:iCs/>
        </w:rPr>
        <w:t>s</w:t>
      </w:r>
      <w:r>
        <w:t xml:space="preserve">, os </w:t>
      </w:r>
      <w:r w:rsidRPr="00114406">
        <w:rPr>
          <w:i/>
          <w:iCs/>
        </w:rPr>
        <w:t>distribuidores</w:t>
      </w:r>
      <w:r>
        <w:t xml:space="preserve">, os </w:t>
      </w:r>
      <w:r w:rsidRPr="00114406">
        <w:rPr>
          <w:i/>
          <w:iCs/>
        </w:rPr>
        <w:t>consumidores finais</w:t>
      </w:r>
      <w:r>
        <w:t xml:space="preserve"> e os operadores de CCAT.</w:t>
      </w:r>
    </w:p>
    <w:p w14:paraId="378DE0A3" w14:textId="078BB247" w:rsidR="00CD4F3F" w:rsidRPr="00CD4F3F" w:rsidRDefault="00E817FC" w:rsidP="002C09C1">
      <w:pPr>
        <w:pStyle w:val="Heading2"/>
      </w:pPr>
      <w:bookmarkStart w:id="180" w:name="_Toc96841412"/>
      <w:r>
        <w:t>Código de troca de informação (IC)</w:t>
      </w:r>
      <w:bookmarkEnd w:id="180"/>
    </w:p>
    <w:p w14:paraId="2F93EFC4" w14:textId="649D36BE" w:rsidR="00CF4E38" w:rsidRPr="008E1DCB" w:rsidRDefault="00F979F2" w:rsidP="002C09C1">
      <w:pPr>
        <w:pStyle w:val="Heading3"/>
        <w:rPr>
          <w:bCs/>
          <w:iCs/>
        </w:rPr>
      </w:pPr>
      <w:r>
        <w:rPr>
          <w:rStyle w:val="Heading3Char"/>
        </w:rPr>
        <w:t xml:space="preserve">O código de troca de informação do </w:t>
      </w:r>
      <w:r w:rsidRPr="000B7225">
        <w:rPr>
          <w:rStyle w:val="Heading3Char"/>
          <w:i/>
          <w:iCs/>
        </w:rPr>
        <w:t>código da rede da SADC</w:t>
      </w:r>
      <w:r>
        <w:rPr>
          <w:rStyle w:val="Heading3Char"/>
        </w:rPr>
        <w:t xml:space="preserve"> define os dados do sistema a serem partilhados entre os </w:t>
      </w:r>
      <w:r w:rsidRPr="000B7225">
        <w:rPr>
          <w:rStyle w:val="Heading3Char"/>
          <w:i/>
          <w:iCs/>
        </w:rPr>
        <w:t>membros act</w:t>
      </w:r>
      <w:r w:rsidR="000B7225" w:rsidRPr="000B7225">
        <w:rPr>
          <w:rStyle w:val="Heading3Char"/>
          <w:i/>
          <w:iCs/>
        </w:rPr>
        <w:t>i</w:t>
      </w:r>
      <w:r w:rsidRPr="000B7225">
        <w:rPr>
          <w:rStyle w:val="Heading3Char"/>
          <w:i/>
          <w:iCs/>
        </w:rPr>
        <w:t>vos do SAPP</w:t>
      </w:r>
      <w:r>
        <w:rPr>
          <w:rStyle w:val="Heading3Char"/>
        </w:rPr>
        <w:t xml:space="preserve"> e os </w:t>
      </w:r>
      <w:r w:rsidRPr="000B7225">
        <w:rPr>
          <w:rStyle w:val="Heading3Char"/>
          <w:i/>
          <w:iCs/>
        </w:rPr>
        <w:t>operadores do mercado do SAPP</w:t>
      </w:r>
      <w:r>
        <w:rPr>
          <w:rStyle w:val="Heading3Char"/>
        </w:rPr>
        <w:t xml:space="preserve"> ao SAPP e às </w:t>
      </w:r>
      <w:proofErr w:type="spellStart"/>
      <w:r w:rsidRPr="000B7225">
        <w:rPr>
          <w:rStyle w:val="Heading3Char"/>
          <w:i/>
          <w:iCs/>
        </w:rPr>
        <w:t>TSOs</w:t>
      </w:r>
      <w:proofErr w:type="spellEnd"/>
      <w:r>
        <w:rPr>
          <w:rStyle w:val="Heading3Char"/>
        </w:rPr>
        <w:t xml:space="preserve"> para efeitos d</w:t>
      </w:r>
      <w:r w:rsidR="000B7225">
        <w:rPr>
          <w:rStyle w:val="Heading3Char"/>
        </w:rPr>
        <w:t xml:space="preserve">e </w:t>
      </w:r>
      <w:r>
        <w:t xml:space="preserve">modelação e análise das condições de estado estacionário e dinâmicas para o </w:t>
      </w:r>
      <w:r w:rsidRPr="000B7225">
        <w:rPr>
          <w:i/>
          <w:iCs/>
        </w:rPr>
        <w:t>sistema de transporte interconectado do SAPP</w:t>
      </w:r>
      <w:r>
        <w:t>.</w:t>
      </w:r>
    </w:p>
    <w:p w14:paraId="65078611" w14:textId="15ECF4F0" w:rsidR="00CD4F3F" w:rsidRPr="00CD4F3F" w:rsidRDefault="00E817FC" w:rsidP="002C09C1">
      <w:pPr>
        <w:pStyle w:val="Heading2"/>
      </w:pPr>
      <w:bookmarkStart w:id="181" w:name="_Toc96841413"/>
      <w:r>
        <w:t>Código de medição</w:t>
      </w:r>
      <w:bookmarkEnd w:id="181"/>
    </w:p>
    <w:p w14:paraId="113074FD" w14:textId="78FCF9AC" w:rsidR="00CF4E38" w:rsidRPr="00F944A4" w:rsidRDefault="00E95BB6" w:rsidP="002C09C1">
      <w:pPr>
        <w:pStyle w:val="Heading3"/>
      </w:pPr>
      <w:r>
        <w:t>O código de medição (</w:t>
      </w:r>
      <w:proofErr w:type="spellStart"/>
      <w:r>
        <w:t>MtC</w:t>
      </w:r>
      <w:proofErr w:type="spellEnd"/>
      <w:r>
        <w:t>) especifica os critérios técnicos, concepcionais e operacionais mínimos a serem cumpridos para a medição de cada ponto de conexão de</w:t>
      </w:r>
      <w:r w:rsidR="000B7225">
        <w:t xml:space="preserve"> </w:t>
      </w:r>
      <w:r>
        <w:t xml:space="preserve">energia entre os </w:t>
      </w:r>
      <w:r w:rsidRPr="000B7225">
        <w:rPr>
          <w:i/>
          <w:iCs/>
        </w:rPr>
        <w:t>operadores do mercado do SAPP</w:t>
      </w:r>
      <w:r>
        <w:t xml:space="preserve">, as áreas de controlo, e entre as </w:t>
      </w:r>
      <w:proofErr w:type="spellStart"/>
      <w:r w:rsidRPr="000B7225">
        <w:rPr>
          <w:i/>
          <w:iCs/>
        </w:rPr>
        <w:t>TSOs</w:t>
      </w:r>
      <w:proofErr w:type="spellEnd"/>
      <w:r>
        <w:t xml:space="preserve"> no seio duma área de controlo. </w:t>
      </w:r>
    </w:p>
    <w:p w14:paraId="6558D9E5" w14:textId="387D9CC4" w:rsidR="00CD4F3F" w:rsidRPr="004443F7" w:rsidRDefault="00E817FC" w:rsidP="002C09C1">
      <w:pPr>
        <w:pStyle w:val="Heading2"/>
      </w:pPr>
      <w:bookmarkStart w:id="182" w:name="_Toc96841414"/>
      <w:r>
        <w:t>Código do mercado (</w:t>
      </w:r>
      <w:proofErr w:type="spellStart"/>
      <w:r>
        <w:t>MrC</w:t>
      </w:r>
      <w:proofErr w:type="spellEnd"/>
      <w:r>
        <w:t>)</w:t>
      </w:r>
      <w:bookmarkEnd w:id="182"/>
    </w:p>
    <w:p w14:paraId="2743D0AD" w14:textId="443513C0" w:rsidR="00E817FC" w:rsidRPr="00F944A4" w:rsidRDefault="0099720A" w:rsidP="002C09C1">
      <w:pPr>
        <w:pStyle w:val="Heading3"/>
      </w:pPr>
      <w:r>
        <w:t xml:space="preserve">As secções de alocação da capacidade de transporte e de gestão da congestão nesse código de mercado estabelece regras não-discriminatórias para as condições de acesso à rede para os intercâmbios transfronteiriços de electricidade e, em particular, regras sobre a alocação da capacidade e gestão da congestão para as </w:t>
      </w:r>
      <w:r w:rsidRPr="000B7225">
        <w:rPr>
          <w:i/>
          <w:iCs/>
        </w:rPr>
        <w:t>interconexões</w:t>
      </w:r>
      <w:r>
        <w:t xml:space="preserve"> e os sistemas de transporte que afectam os flu</w:t>
      </w:r>
      <w:r w:rsidR="000B7225">
        <w:t>x</w:t>
      </w:r>
      <w:r>
        <w:t>os de energia eléctrica transfronteiriços e interzonais.</w:t>
      </w:r>
    </w:p>
    <w:p w14:paraId="4D016A24" w14:textId="1DAECC1B" w:rsidR="009A6BF9" w:rsidRPr="0036310F" w:rsidRDefault="0036310F" w:rsidP="009A6BF9">
      <w:pPr>
        <w:pStyle w:val="Heading1"/>
      </w:pPr>
      <w:bookmarkStart w:id="183" w:name="_Toc96841415"/>
      <w:r>
        <w:t>Língua do código da rede regional</w:t>
      </w:r>
      <w:bookmarkEnd w:id="183"/>
    </w:p>
    <w:p w14:paraId="62E255CF" w14:textId="341C4A7D" w:rsidR="009C3184" w:rsidRPr="0036310F" w:rsidRDefault="009A6BF9" w:rsidP="00DA5B6C">
      <w:pPr>
        <w:pStyle w:val="Heading3"/>
      </w:pPr>
      <w:r>
        <w:t xml:space="preserve">As línguas oficiais da </w:t>
      </w:r>
      <w:r w:rsidRPr="000B7225">
        <w:rPr>
          <w:i/>
          <w:iCs/>
        </w:rPr>
        <w:t>SADC</w:t>
      </w:r>
      <w:r>
        <w:t xml:space="preserve"> são o francês, o inglês e o português, mesmo se a região disp</w:t>
      </w:r>
      <w:r w:rsidR="000B7225">
        <w:t>õ</w:t>
      </w:r>
      <w:r>
        <w:t xml:space="preserve">e de uma ampla gama de línguas faladas em cada país. Além disso, a comunidade da </w:t>
      </w:r>
      <w:r w:rsidRPr="000B7225">
        <w:rPr>
          <w:i/>
          <w:iCs/>
        </w:rPr>
        <w:t>SADC</w:t>
      </w:r>
      <w:r>
        <w:t xml:space="preserve"> adoptou o </w:t>
      </w:r>
      <w:proofErr w:type="spellStart"/>
      <w:r>
        <w:t>kiswahili</w:t>
      </w:r>
      <w:proofErr w:type="spellEnd"/>
      <w:r>
        <w:t xml:space="preserve"> como sua quarta língua oficial. O </w:t>
      </w:r>
      <w:r w:rsidRPr="000B7225">
        <w:rPr>
          <w:i/>
          <w:iCs/>
        </w:rPr>
        <w:t>código da rede regional da SADC</w:t>
      </w:r>
      <w:r>
        <w:t xml:space="preserve"> é disponível em inglês, francês e português.</w:t>
      </w:r>
    </w:p>
    <w:p w14:paraId="4D5F0DD1" w14:textId="7F4ECF1A" w:rsidR="004F5DC1" w:rsidRDefault="004F5DC1" w:rsidP="004F5DC1">
      <w:pPr>
        <w:pStyle w:val="Heading1"/>
      </w:pPr>
      <w:bookmarkStart w:id="184" w:name="_Toc94041327"/>
      <w:bookmarkStart w:id="185" w:name="_Toc94041497"/>
      <w:bookmarkStart w:id="186" w:name="_Toc94042229"/>
      <w:bookmarkStart w:id="187" w:name="_Toc94042700"/>
      <w:bookmarkStart w:id="188" w:name="_Toc94042884"/>
      <w:bookmarkStart w:id="189" w:name="_Toc94043007"/>
      <w:bookmarkStart w:id="190" w:name="_Toc94043129"/>
      <w:bookmarkStart w:id="191" w:name="_Toc94043174"/>
      <w:bookmarkStart w:id="192" w:name="_Toc94043220"/>
      <w:bookmarkStart w:id="193" w:name="_Toc96841416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r>
        <w:t>Descrição do quadro institucional existente</w:t>
      </w:r>
      <w:bookmarkEnd w:id="193"/>
    </w:p>
    <w:p w14:paraId="7D374A48" w14:textId="5AB8EE66" w:rsidR="00F87EA3" w:rsidRPr="00F87EA3" w:rsidRDefault="00B75D4C" w:rsidP="00F87EA3">
      <w:pPr>
        <w:pStyle w:val="Heading2"/>
      </w:pPr>
      <w:bookmarkStart w:id="194" w:name="_Toc96841417"/>
      <w:r>
        <w:t xml:space="preserve">A </w:t>
      </w:r>
      <w:r w:rsidRPr="000B7225">
        <w:rPr>
          <w:i/>
          <w:iCs/>
        </w:rPr>
        <w:t>Comunidade de Desenvolvimento da África Austral (SADC)</w:t>
      </w:r>
      <w:bookmarkEnd w:id="194"/>
    </w:p>
    <w:p w14:paraId="07642D8C" w14:textId="7AD3AF4E" w:rsidR="00846D0B" w:rsidRPr="00A561B7" w:rsidRDefault="00F87EA3" w:rsidP="00036C94">
      <w:pPr>
        <w:pStyle w:val="Heading3"/>
        <w:rPr>
          <w:rStyle w:val="Hyperlink"/>
          <w:color w:val="auto"/>
          <w:szCs w:val="22"/>
          <w:u w:val="none"/>
          <w:shd w:val="clear" w:color="auto" w:fill="FFFFFF"/>
        </w:rPr>
      </w:pPr>
      <w:r>
        <w:t xml:space="preserve">A </w:t>
      </w:r>
      <w:r w:rsidRPr="000B7225">
        <w:rPr>
          <w:i/>
          <w:iCs/>
        </w:rPr>
        <w:t>Comunidade de Desenvolvimento da África Austral (SADC)</w:t>
      </w:r>
      <w:r>
        <w:t xml:space="preserve"> foi estabelecida como uma conferência de coordenação de desenvolvimento em 1980 e </w:t>
      </w:r>
      <w:r>
        <w:lastRenderedPageBreak/>
        <w:t xml:space="preserve">transformou-se numa comunidade de desenvolvimento em 1992. É uma organização intergovernamental cujo objectivo é de promover o crescimento económico sustentável e equitativo e o desenvolvimento socioeconómico através de sistemas produtivos eficientes, uma cooperação </w:t>
      </w:r>
      <w:r w:rsidR="000B7225">
        <w:t xml:space="preserve">e </w:t>
      </w:r>
      <w:r>
        <w:t xml:space="preserve">integração mais profunda, boa governação e paz e segurança duráveis entre os dezasseis </w:t>
      </w:r>
      <w:r w:rsidRPr="000B7225">
        <w:rPr>
          <w:i/>
          <w:iCs/>
        </w:rPr>
        <w:t>Estados membros da África Austral</w:t>
      </w:r>
      <w:r>
        <w:t>: Africa do Sul, Angola, Botswana, Comores, República Democrática do Congo, Eswatini, Lesoto, Madagáscar, Malawi, Maurícias, Moçambique, Namíbia, Seicheles, República Unida da Tanzânia, Zâmbia, Zimbabwe.</w:t>
      </w:r>
    </w:p>
    <w:p w14:paraId="4F71764A" w14:textId="3AE25499" w:rsidR="00006439" w:rsidRDefault="002F337D" w:rsidP="00006439">
      <w:pPr>
        <w:pStyle w:val="Heading3"/>
      </w:pPr>
      <w:r>
        <w:t xml:space="preserve">O Protocolo da SADC sobre Energia de 1996 (revisto em 2018) pretende promover o desenvolvimento harmonioso de políticas energéticas nacionais e questões de interesse comum para o desenvolvimento equilibrado e equitativo da energia em toda a extensão da região da </w:t>
      </w:r>
      <w:r w:rsidRPr="000B7225">
        <w:rPr>
          <w:i/>
          <w:iCs/>
        </w:rPr>
        <w:t>SADC</w:t>
      </w:r>
      <w:r>
        <w:t xml:space="preserve">. Tem o objectivo de «harmonizar políticas energéticas nacionais e regionais, quadros regulatórios, normas, instrumentos, estratégias e programas sobre questões de interesse comum com base em equidade, equilíbrio e benefício mútuo». O código da rede regional é um instrumento regulatório chave necessário para apoiar a prossecução dos objectivos normativos do sector de energia para a </w:t>
      </w:r>
      <w:r w:rsidRPr="000B7225">
        <w:rPr>
          <w:i/>
          <w:iCs/>
        </w:rPr>
        <w:t>SADC</w:t>
      </w:r>
      <w:r>
        <w:t xml:space="preserve">. </w:t>
      </w:r>
    </w:p>
    <w:p w14:paraId="4ACAEF0B" w14:textId="4906B3E1" w:rsidR="00FD767C" w:rsidRPr="00A1594F" w:rsidRDefault="00510CD2" w:rsidP="00006439">
      <w:pPr>
        <w:pStyle w:val="Heading2"/>
      </w:pPr>
      <w:bookmarkStart w:id="195" w:name="_Toc94043177"/>
      <w:bookmarkStart w:id="196" w:name="_Toc94043223"/>
      <w:bookmarkStart w:id="197" w:name="_Toc94041331"/>
      <w:bookmarkStart w:id="198" w:name="_Toc94041501"/>
      <w:bookmarkStart w:id="199" w:name="_Toc94042233"/>
      <w:bookmarkStart w:id="200" w:name="_Toc94042704"/>
      <w:bookmarkStart w:id="201" w:name="_Toc94042888"/>
      <w:bookmarkStart w:id="202" w:name="_Toc94043011"/>
      <w:bookmarkStart w:id="203" w:name="_Toc94043132"/>
      <w:bookmarkStart w:id="204" w:name="_Toc94043178"/>
      <w:bookmarkStart w:id="205" w:name="_Toc94043224"/>
      <w:bookmarkStart w:id="206" w:name="_Toc96841418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r>
        <w:t xml:space="preserve">O </w:t>
      </w:r>
      <w:r w:rsidRPr="000B7225">
        <w:rPr>
          <w:i/>
          <w:iCs/>
        </w:rPr>
        <w:t>Grupo Energético da África Austral (SAPP)</w:t>
      </w:r>
      <w:bookmarkEnd w:id="206"/>
    </w:p>
    <w:p w14:paraId="359F3BA3" w14:textId="2BE9EC6C" w:rsidR="004F5DC1" w:rsidRDefault="00FD767C" w:rsidP="00A1594F">
      <w:pPr>
        <w:pStyle w:val="Heading3"/>
      </w:pPr>
      <w:r>
        <w:t xml:space="preserve">O </w:t>
      </w:r>
      <w:r w:rsidRPr="000B7225">
        <w:rPr>
          <w:i/>
          <w:iCs/>
        </w:rPr>
        <w:t>SAPP</w:t>
      </w:r>
      <w:r>
        <w:t xml:space="preserve"> foi criado em Agosto de 1995 na Cimeira realizada em </w:t>
      </w:r>
      <w:proofErr w:type="spellStart"/>
      <w:r>
        <w:t>Kempton</w:t>
      </w:r>
      <w:proofErr w:type="spellEnd"/>
      <w:r>
        <w:t xml:space="preserve"> </w:t>
      </w:r>
      <w:proofErr w:type="spellStart"/>
      <w:r>
        <w:t>Park</w:t>
      </w:r>
      <w:proofErr w:type="spellEnd"/>
      <w:r>
        <w:t xml:space="preserve">, África do Sul, quando os governos membros da </w:t>
      </w:r>
      <w:r w:rsidRPr="000B7225">
        <w:rPr>
          <w:i/>
          <w:iCs/>
        </w:rPr>
        <w:t>SADC</w:t>
      </w:r>
      <w:r>
        <w:t xml:space="preserve"> (excluindo as Maurícias) assinaram um memorando de entendimento intergovernamental (IGMOU) visando a constituição de um grupo de energia eléctrica na região com o nome de </w:t>
      </w:r>
      <w:r w:rsidRPr="000B7225">
        <w:rPr>
          <w:i/>
          <w:iCs/>
        </w:rPr>
        <w:t>Grupo Energético da África Austral (SAPP)</w:t>
      </w:r>
      <w:r>
        <w:t xml:space="preserve">. Os ministros responsáveis pela energia na região da </w:t>
      </w:r>
      <w:r w:rsidRPr="000B7225">
        <w:rPr>
          <w:i/>
          <w:iCs/>
        </w:rPr>
        <w:t>SADC</w:t>
      </w:r>
      <w:r>
        <w:t xml:space="preserve"> assinaram o IGMOU revisto no dia </w:t>
      </w:r>
      <w:r w:rsidR="000B7225">
        <w:t>23</w:t>
      </w:r>
      <w:r>
        <w:t xml:space="preserve"> de Fevereiro de 2006.</w:t>
      </w:r>
    </w:p>
    <w:p w14:paraId="12B81833" w14:textId="035178AD" w:rsidR="00DA0162" w:rsidRPr="00DA0162" w:rsidRDefault="00DA0162" w:rsidP="00DA0162">
      <w:pPr>
        <w:pStyle w:val="Heading3"/>
      </w:pPr>
      <w:r>
        <w:t xml:space="preserve">O </w:t>
      </w:r>
      <w:r w:rsidRPr="000B7225">
        <w:rPr>
          <w:i/>
          <w:iCs/>
        </w:rPr>
        <w:t>SAPP</w:t>
      </w:r>
      <w:r>
        <w:t xml:space="preserve"> é regido por quatro acordos: o memorando de entendimento intergovernamental (IGMOU), que permitiu a criação do </w:t>
      </w:r>
      <w:r w:rsidRPr="000B7225">
        <w:rPr>
          <w:i/>
          <w:iCs/>
        </w:rPr>
        <w:t>SAPP</w:t>
      </w:r>
      <w:r>
        <w:t xml:space="preserve">, o memorando de entendimento </w:t>
      </w:r>
      <w:r w:rsidR="000B7225">
        <w:t>interoperadoras</w:t>
      </w:r>
      <w:r>
        <w:t xml:space="preserve"> (</w:t>
      </w:r>
      <w:proofErr w:type="spellStart"/>
      <w:r w:rsidRPr="000B7225">
        <w:rPr>
          <w:i/>
          <w:iCs/>
        </w:rPr>
        <w:t>utilities</w:t>
      </w:r>
      <w:proofErr w:type="spellEnd"/>
      <w:r>
        <w:t xml:space="preserve">)(IUMOU), que foi revisto em Outubro de 2021, e estabeleceu os princípios básicos de gestão e das operações do </w:t>
      </w:r>
      <w:r w:rsidRPr="000B7225">
        <w:rPr>
          <w:i/>
          <w:iCs/>
        </w:rPr>
        <w:t>SAPP</w:t>
      </w:r>
      <w:r>
        <w:t xml:space="preserve">; o Acordo entre os membros activos, que estabeleceu as regras específicas da operação e fixação de preços; e o Código das Operações substitui os requisitos da Revisão 1.0 das Linhas de Orientação das Operações do </w:t>
      </w:r>
      <w:r w:rsidRPr="000B7225">
        <w:rPr>
          <w:i/>
          <w:iCs/>
        </w:rPr>
        <w:t>SAPP</w:t>
      </w:r>
      <w:r>
        <w:t xml:space="preserve"> datada de 29 de Novembro de 2013, a partir da entrada em vigor do código da rede regional, como estabelecido na disposição GC 13. As Directrizes Operacionais do </w:t>
      </w:r>
      <w:r w:rsidRPr="000B7225">
        <w:rPr>
          <w:i/>
          <w:iCs/>
        </w:rPr>
        <w:t>SAPP</w:t>
      </w:r>
      <w:r>
        <w:t xml:space="preserve"> continuarão a fornecer orientações para a implementação do Código de Operações.</w:t>
      </w:r>
    </w:p>
    <w:p w14:paraId="73372F35" w14:textId="097A0EFD" w:rsidR="002C6E48" w:rsidRPr="0045518F" w:rsidRDefault="002C6E48" w:rsidP="00A1594F">
      <w:pPr>
        <w:pStyle w:val="Heading3"/>
        <w:rPr>
          <w:b/>
          <w:i/>
        </w:rPr>
      </w:pPr>
      <w:r>
        <w:t xml:space="preserve">O </w:t>
      </w:r>
      <w:r w:rsidRPr="000B7225">
        <w:rPr>
          <w:i/>
          <w:iCs/>
        </w:rPr>
        <w:t>SAPP</w:t>
      </w:r>
      <w:r>
        <w:t xml:space="preserve"> tem doze países membros representados pelas suas respectivas operadoras (</w:t>
      </w:r>
      <w:proofErr w:type="spellStart"/>
      <w:r w:rsidRPr="000B7225">
        <w:rPr>
          <w:i/>
          <w:iCs/>
        </w:rPr>
        <w:t>utilities</w:t>
      </w:r>
      <w:proofErr w:type="spellEnd"/>
      <w:r>
        <w:t xml:space="preserve">) de energia eléctricas organizadas através da SADC. </w:t>
      </w:r>
      <w:bookmarkStart w:id="207" w:name="_Hlk92985715"/>
      <w:r>
        <w:t>Angola, Botswana, República Democrática do Congo, Eswatini, Lesoto, Malawi, Moçambique, Namíbia, África do Sul, República Unida da Tanzânia, Zâmbia, Zimbabwe.</w:t>
      </w:r>
    </w:p>
    <w:bookmarkEnd w:id="207"/>
    <w:p w14:paraId="7AC8BEE6" w14:textId="26AAB3B8" w:rsidR="008507EB" w:rsidRPr="0045518F" w:rsidRDefault="001657D7" w:rsidP="00A1594F">
      <w:pPr>
        <w:pStyle w:val="Heading3"/>
        <w:rPr>
          <w:b/>
          <w:i/>
        </w:rPr>
      </w:pPr>
      <w:r>
        <w:t xml:space="preserve">O </w:t>
      </w:r>
      <w:r w:rsidRPr="000B7225">
        <w:rPr>
          <w:i/>
          <w:iCs/>
        </w:rPr>
        <w:t>SAPP</w:t>
      </w:r>
      <w:r>
        <w:t xml:space="preserve"> tem quatro comités: o Subcomité Ambiental; o Subcomité de Mercados, o Subcomité das Operações e o Subcomité de Planeamento no âmbito do Comité de Gestão, que por sua vez responde perante o Comité Executivo (figura 1). O Subcomité de Mercados foi criado em Abril de 2007 na sequência da </w:t>
      </w:r>
      <w:r>
        <w:lastRenderedPageBreak/>
        <w:t xml:space="preserve">assinatura do Memorando de Entendimento </w:t>
      </w:r>
      <w:r w:rsidR="000B7225">
        <w:t>Interoperadoras</w:t>
      </w:r>
      <w:r>
        <w:t xml:space="preserve"> (</w:t>
      </w:r>
      <w:proofErr w:type="spellStart"/>
      <w:r w:rsidR="000B7225" w:rsidRPr="000B7225">
        <w:rPr>
          <w:i/>
          <w:iCs/>
        </w:rPr>
        <w:t>inter-</w:t>
      </w:r>
      <w:r w:rsidRPr="000B7225">
        <w:rPr>
          <w:i/>
          <w:iCs/>
        </w:rPr>
        <w:t>utilities</w:t>
      </w:r>
      <w:proofErr w:type="spellEnd"/>
      <w:r>
        <w:t xml:space="preserve">) revisto (IUMOU) pelo Comité Executivo do </w:t>
      </w:r>
      <w:r w:rsidRPr="000B7225">
        <w:rPr>
          <w:i/>
          <w:iCs/>
        </w:rPr>
        <w:t>SAPP</w:t>
      </w:r>
      <w:r>
        <w:t xml:space="preserve"> no dia 25 de Abril de 2007. Também o Conselho do </w:t>
      </w:r>
      <w:r w:rsidRPr="000B7225">
        <w:rPr>
          <w:i/>
          <w:iCs/>
        </w:rPr>
        <w:t xml:space="preserve">Centro de </w:t>
      </w:r>
      <w:r w:rsidR="000B7225" w:rsidRPr="000B7225">
        <w:rPr>
          <w:i/>
          <w:iCs/>
        </w:rPr>
        <w:t>Coordenação</w:t>
      </w:r>
      <w:r>
        <w:t xml:space="preserve"> destinado a reger as actividades do </w:t>
      </w:r>
      <w:r w:rsidRPr="000B7225">
        <w:rPr>
          <w:i/>
          <w:iCs/>
        </w:rPr>
        <w:t xml:space="preserve">Centro de </w:t>
      </w:r>
      <w:r w:rsidR="000B7225" w:rsidRPr="000B7225">
        <w:rPr>
          <w:i/>
          <w:iCs/>
        </w:rPr>
        <w:t>Coordenação</w:t>
      </w:r>
      <w:r w:rsidRPr="000B7225">
        <w:rPr>
          <w:i/>
          <w:iCs/>
        </w:rPr>
        <w:t xml:space="preserve"> do SAPP</w:t>
      </w:r>
      <w:r>
        <w:t xml:space="preserve"> foi criado em Abril de 2007 (fonte: Relatório Anual do </w:t>
      </w:r>
      <w:r>
        <w:rPr>
          <w:i/>
          <w:iCs/>
        </w:rPr>
        <w:t>SAPP</w:t>
      </w:r>
      <w:r>
        <w:t xml:space="preserve"> de 2020</w:t>
      </w:r>
      <w:r w:rsidR="00B612A0" w:rsidRPr="0045518F">
        <w:rPr>
          <w:rStyle w:val="FootnoteReference"/>
          <w:bCs/>
          <w:iCs/>
          <w:color w:val="000000" w:themeColor="text1"/>
        </w:rPr>
        <w:footnoteReference w:id="2"/>
      </w:r>
      <w:r>
        <w:t>).</w:t>
      </w:r>
    </w:p>
    <w:p w14:paraId="68FBCB0C" w14:textId="77777777" w:rsidR="007C4A86" w:rsidRDefault="007C4A86" w:rsidP="007C4A86">
      <w:pPr>
        <w:rPr>
          <w:lang w:val="en-GB"/>
        </w:rPr>
      </w:pPr>
    </w:p>
    <w:p w14:paraId="0A642205" w14:textId="77777777" w:rsidR="00C31A88" w:rsidRDefault="007C4A86" w:rsidP="00036C94">
      <w:pPr>
        <w:keepNext/>
        <w:jc w:val="center"/>
      </w:pPr>
      <w:r>
        <w:rPr>
          <w:noProof/>
        </w:rPr>
        <w:drawing>
          <wp:inline distT="0" distB="0" distL="0" distR="0" wp14:anchorId="04D5811C" wp14:editId="21BFAC5E">
            <wp:extent cx="5745480" cy="3535354"/>
            <wp:effectExtent l="0" t="0" r="762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498" cy="35482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0950BA" w14:textId="2DF9492F" w:rsidR="007C4A86" w:rsidRPr="00036C94" w:rsidRDefault="00C31A88" w:rsidP="00036C94">
      <w:pPr>
        <w:pStyle w:val="Caption"/>
        <w:jc w:val="center"/>
        <w:rPr>
          <w:bCs w:val="0"/>
          <w:i/>
        </w:rPr>
      </w:pPr>
      <w:bookmarkStart w:id="208" w:name="_Toc96808957"/>
      <w:r>
        <w:t xml:space="preserve">Figura </w:t>
      </w:r>
      <w:r w:rsidR="001821C7">
        <w:fldChar w:fldCharType="begin"/>
      </w:r>
      <w:r w:rsidR="001821C7">
        <w:instrText xml:space="preserve"> SEQ Figure \* ARABIC </w:instrText>
      </w:r>
      <w:r w:rsidR="001821C7">
        <w:fldChar w:fldCharType="separate"/>
      </w:r>
      <w:r w:rsidR="006B0C4D">
        <w:rPr>
          <w:noProof/>
        </w:rPr>
        <w:t>1</w:t>
      </w:r>
      <w:r w:rsidR="001821C7">
        <w:rPr>
          <w:noProof/>
        </w:rPr>
        <w:fldChar w:fldCharType="end"/>
      </w:r>
      <w:r>
        <w:t>. Organ</w:t>
      </w:r>
      <w:r w:rsidR="004B3625">
        <w:t>o</w:t>
      </w:r>
      <w:r>
        <w:t>grama e composição do SAPP (fonte: Relatório Anual do SAPP de 2020)</w:t>
      </w:r>
      <w:bookmarkEnd w:id="208"/>
    </w:p>
    <w:p w14:paraId="643D1FF4" w14:textId="77777777" w:rsidR="007C4A86" w:rsidRPr="00036C94" w:rsidRDefault="007C4A86" w:rsidP="00036C94">
      <w:pPr>
        <w:rPr>
          <w:b/>
          <w:i/>
        </w:rPr>
      </w:pPr>
    </w:p>
    <w:p w14:paraId="121C21DA" w14:textId="4F796D5C" w:rsidR="001657D7" w:rsidRDefault="001657D7" w:rsidP="00A1594F">
      <w:pPr>
        <w:pStyle w:val="Heading3"/>
      </w:pPr>
      <w:r>
        <w:t xml:space="preserve">O </w:t>
      </w:r>
      <w:r w:rsidRPr="004B3625">
        <w:rPr>
          <w:i/>
          <w:iCs/>
        </w:rPr>
        <w:t>SAPP</w:t>
      </w:r>
      <w:r>
        <w:t xml:space="preserve"> criou o Mercado de Energia a Curto Prazo em Abril de 2001. A partir de Janeiro de 2004, o </w:t>
      </w:r>
      <w:r w:rsidRPr="004B3625">
        <w:rPr>
          <w:i/>
          <w:iCs/>
        </w:rPr>
        <w:t>SAPP</w:t>
      </w:r>
      <w:r>
        <w:t xml:space="preserve"> iniciou a elaboração de um mercado de electricidade competitivo para a região da </w:t>
      </w:r>
      <w:r w:rsidRPr="004B3625">
        <w:rPr>
          <w:i/>
          <w:iCs/>
        </w:rPr>
        <w:t>SADC</w:t>
      </w:r>
      <w:r>
        <w:t xml:space="preserve">. O Mercado do dia anterior (DAM) foi criado em Dezembro de 2009. Em 2015 a Plataforma de Comércio do </w:t>
      </w:r>
      <w:r w:rsidRPr="004B3625">
        <w:rPr>
          <w:i/>
          <w:iCs/>
        </w:rPr>
        <w:t>SAPP</w:t>
      </w:r>
      <w:r>
        <w:t xml:space="preserve"> foi modernizado com Mercados Físicos a Termo</w:t>
      </w:r>
      <w:r w:rsidR="004B3625">
        <w:t>.</w:t>
      </w:r>
    </w:p>
    <w:p w14:paraId="2DBBE0FE" w14:textId="76EF5408" w:rsidR="006A090D" w:rsidRPr="002C09C1" w:rsidRDefault="006937FB" w:rsidP="00A561B7">
      <w:pPr>
        <w:pStyle w:val="Heading2"/>
        <w:rPr>
          <w:i/>
        </w:rPr>
      </w:pPr>
      <w:bookmarkStart w:id="209" w:name="_Toc96841419"/>
      <w:r>
        <w:rPr>
          <w:bCs/>
          <w:i/>
        </w:rPr>
        <w:t>A Associação Regional dos Reguladores de Energia da África Austral (RERA)</w:t>
      </w:r>
      <w:bookmarkEnd w:id="209"/>
      <w:r>
        <w:rPr>
          <w:b w:val="0"/>
          <w:bCs/>
          <w:i/>
        </w:rPr>
        <w:t xml:space="preserve"> </w:t>
      </w:r>
    </w:p>
    <w:p w14:paraId="0BF29D3C" w14:textId="2F37AE19" w:rsidR="006A090D" w:rsidRDefault="006A090D" w:rsidP="006A090D">
      <w:pPr>
        <w:pStyle w:val="Heading3"/>
      </w:pPr>
      <w:r>
        <w:t xml:space="preserve">A </w:t>
      </w:r>
      <w:r w:rsidRPr="004B3625">
        <w:rPr>
          <w:i/>
          <w:iCs/>
        </w:rPr>
        <w:t>RERA</w:t>
      </w:r>
      <w:r>
        <w:t xml:space="preserve"> foi criada como uma organização sem fins lucrativos ao abrigo das leis da Namíbia em 2003. Foi assinado em 2010 um acordo entre a </w:t>
      </w:r>
      <w:r>
        <w:rPr>
          <w:i/>
        </w:rPr>
        <w:t>RERA</w:t>
      </w:r>
      <w:r>
        <w:t xml:space="preserve"> e o Governo da República da Namíbia sobre o acolhimento do Secretariado da </w:t>
      </w:r>
      <w:r>
        <w:rPr>
          <w:i/>
        </w:rPr>
        <w:t>RERA</w:t>
      </w:r>
      <w:r>
        <w:t xml:space="preserve"> para efeitos de facilitação da acreditação diplomática da Associação como uma instituição subsidiária da </w:t>
      </w:r>
      <w:r>
        <w:rPr>
          <w:i/>
        </w:rPr>
        <w:t>SADC</w:t>
      </w:r>
      <w:r>
        <w:t xml:space="preserve">. A </w:t>
      </w:r>
      <w:r>
        <w:rPr>
          <w:i/>
        </w:rPr>
        <w:t>RERA</w:t>
      </w:r>
      <w:r>
        <w:t xml:space="preserve"> é constituída como uma associação à qual as autoridades reguladoras nacionais podem fazer pedidos de filiação. É financiada pel</w:t>
      </w:r>
      <w:r w:rsidR="004B3625">
        <w:t>a</w:t>
      </w:r>
      <w:r>
        <w:t>s regulador</w:t>
      </w:r>
      <w:r w:rsidR="004B3625">
        <w:t>a</w:t>
      </w:r>
      <w:r>
        <w:t xml:space="preserve">s-membros. A </w:t>
      </w:r>
      <w:r w:rsidRPr="004B3625">
        <w:rPr>
          <w:i/>
          <w:iCs/>
        </w:rPr>
        <w:t>RERA</w:t>
      </w:r>
      <w:r>
        <w:t xml:space="preserve">, pela sua constituição, tem poderes limitados. O seu papel foi alargado por forma a </w:t>
      </w:r>
      <w:r>
        <w:lastRenderedPageBreak/>
        <w:t xml:space="preserve">abranger toda a «energia» na região sem a extensão dos seus poderes. O seu mandato actual abrange:  </w:t>
      </w:r>
    </w:p>
    <w:p w14:paraId="42E652BF" w14:textId="77777777" w:rsidR="00A26B79" w:rsidRPr="00F84F38" w:rsidRDefault="00A26B79" w:rsidP="00F84F38"/>
    <w:p w14:paraId="0DF791FB" w14:textId="13CAB3EE" w:rsidR="006A090D" w:rsidRPr="00797CBE" w:rsidRDefault="006A090D" w:rsidP="00A561B7">
      <w:pPr>
        <w:pStyle w:val="ListParagraph"/>
        <w:numPr>
          <w:ilvl w:val="0"/>
          <w:numId w:val="7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 reforço de capacidades e a partilha de </w:t>
      </w:r>
      <w:r>
        <w:rPr>
          <w:rFonts w:ascii="Arial" w:hAnsi="Arial"/>
          <w:i/>
          <w:sz w:val="22"/>
          <w:szCs w:val="22"/>
        </w:rPr>
        <w:t>informação</w:t>
      </w:r>
    </w:p>
    <w:p w14:paraId="6DA7FCC2" w14:textId="77777777" w:rsidR="006A090D" w:rsidRPr="00797CBE" w:rsidRDefault="006A090D" w:rsidP="00A561B7">
      <w:pPr>
        <w:pStyle w:val="ListParagraph"/>
        <w:numPr>
          <w:ilvl w:val="0"/>
          <w:numId w:val="7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 facilitação da política, legislação e comércio do sector energético</w:t>
      </w:r>
    </w:p>
    <w:p w14:paraId="60988F9E" w14:textId="77777777" w:rsidR="006A090D" w:rsidRPr="00797CBE" w:rsidRDefault="006A090D" w:rsidP="00A561B7">
      <w:pPr>
        <w:pStyle w:val="ListParagraph"/>
        <w:numPr>
          <w:ilvl w:val="0"/>
          <w:numId w:val="7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protecção do consumidor e serviços de comunicação</w:t>
      </w:r>
    </w:p>
    <w:p w14:paraId="57CA8507" w14:textId="190133F1" w:rsidR="006A090D" w:rsidRDefault="006A090D" w:rsidP="008269AF">
      <w:pPr>
        <w:pStyle w:val="ListParagraph"/>
        <w:numPr>
          <w:ilvl w:val="0"/>
          <w:numId w:val="7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Funcionamento regulatório</w:t>
      </w:r>
    </w:p>
    <w:p w14:paraId="6C2657E8" w14:textId="5E2128DC" w:rsidR="006A090D" w:rsidRPr="00A561B7" w:rsidRDefault="006937FB" w:rsidP="00A561B7">
      <w:pPr>
        <w:pStyle w:val="Heading3"/>
      </w:pPr>
      <w:r>
        <w:t xml:space="preserve">No futuro, será criada uma nova instituição reguladora com o nome de SARERA, como uma organização de </w:t>
      </w:r>
      <w:r w:rsidR="004B3625">
        <w:t>subsidiariedade</w:t>
      </w:r>
      <w:r>
        <w:t xml:space="preserve"> jurídica, dentro do sentido dos Princípios de </w:t>
      </w:r>
      <w:r w:rsidR="004B3625">
        <w:t>Subsidiariedade</w:t>
      </w:r>
      <w:r>
        <w:t xml:space="preserve"> da </w:t>
      </w:r>
      <w:r w:rsidRPr="004B3625">
        <w:rPr>
          <w:i/>
          <w:iCs/>
        </w:rPr>
        <w:t>SADC</w:t>
      </w:r>
      <w:r>
        <w:t xml:space="preserve"> adoptados pela Cimeira de 2004 e o Protocolo de Energia. Terá o estatuto de uma organização de </w:t>
      </w:r>
      <w:r w:rsidR="004B3625">
        <w:t>subsidiariedade</w:t>
      </w:r>
      <w:r>
        <w:t xml:space="preserve">. Será criada pela Carta elaborada de acordo com as Directrizes da </w:t>
      </w:r>
      <w:r w:rsidRPr="004B3625">
        <w:rPr>
          <w:i/>
          <w:iCs/>
        </w:rPr>
        <w:t>SADC</w:t>
      </w:r>
      <w:r>
        <w:t xml:space="preserve"> para a elaboração dos instrumentos legais regionais da SADC. Tal como é o caso da ERERA, a SARERA terá um pequeno conselho de administração a tempo parcial que responde perante altos funcionários e, em última instância, perante o Comité dos Ministros (COM), em conformidade com as regras da </w:t>
      </w:r>
      <w:r>
        <w:rPr>
          <w:i/>
          <w:iCs/>
        </w:rPr>
        <w:t>SADC</w:t>
      </w:r>
      <w:r>
        <w:t xml:space="preserve"> para as organizações de subsidiariedade.</w:t>
      </w:r>
    </w:p>
    <w:p w14:paraId="4C34040E" w14:textId="3144E079" w:rsidR="005A3731" w:rsidRDefault="005C155F" w:rsidP="00A561B7">
      <w:pPr>
        <w:pStyle w:val="Heading3"/>
        <w:numPr>
          <w:ilvl w:val="0"/>
          <w:numId w:val="0"/>
        </w:numPr>
        <w:spacing w:line="360" w:lineRule="auto"/>
        <w:ind w:left="576" w:hanging="576"/>
        <w:jc w:val="center"/>
      </w:pPr>
      <w:r>
        <w:rPr>
          <w:noProof/>
        </w:rPr>
        <w:drawing>
          <wp:inline distT="0" distB="0" distL="0" distR="0" wp14:anchorId="282EE982" wp14:editId="01E53D86">
            <wp:extent cx="5495493" cy="3647013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290" cy="365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CDC4E5" w14:textId="580747BA" w:rsidR="005C155F" w:rsidRDefault="005C155F" w:rsidP="005C155F">
      <w:pPr>
        <w:rPr>
          <w:lang w:val="en-GB"/>
        </w:rPr>
      </w:pPr>
    </w:p>
    <w:p w14:paraId="2A578FCD" w14:textId="47D17479" w:rsidR="005C155F" w:rsidRPr="00A561B7" w:rsidRDefault="005C155F" w:rsidP="00A561B7">
      <w:pPr>
        <w:pStyle w:val="Caption"/>
        <w:jc w:val="center"/>
        <w:rPr>
          <w:b w:val="0"/>
        </w:rPr>
      </w:pPr>
      <w:bookmarkStart w:id="210" w:name="_Toc96808958"/>
      <w:r>
        <w:t xml:space="preserve">Figura </w:t>
      </w:r>
      <w:r w:rsidR="001821C7">
        <w:fldChar w:fldCharType="begin"/>
      </w:r>
      <w:r w:rsidR="001821C7">
        <w:instrText xml:space="preserve"> SEQ Figure \* ARABIC </w:instrText>
      </w:r>
      <w:r w:rsidR="001821C7">
        <w:fldChar w:fldCharType="separate"/>
      </w:r>
      <w:r w:rsidR="006B0C4D">
        <w:rPr>
          <w:noProof/>
        </w:rPr>
        <w:t>2</w:t>
      </w:r>
      <w:r w:rsidR="001821C7">
        <w:rPr>
          <w:noProof/>
        </w:rPr>
        <w:fldChar w:fldCharType="end"/>
      </w:r>
      <w:r>
        <w:t xml:space="preserve">. Estrutura da SARERA de acordo com as directrizes da </w:t>
      </w:r>
      <w:r>
        <w:rPr>
          <w:i/>
          <w:iCs/>
        </w:rPr>
        <w:t>SADC</w:t>
      </w:r>
      <w:r>
        <w:rPr>
          <w:rStyle w:val="FootnoteReference"/>
        </w:rPr>
        <w:footnoteReference w:id="3"/>
      </w:r>
      <w:bookmarkEnd w:id="210"/>
    </w:p>
    <w:p w14:paraId="765378EC" w14:textId="5D2411F6" w:rsidR="004F5DC1" w:rsidRDefault="004F5DC1" w:rsidP="004F5DC1">
      <w:pPr>
        <w:pStyle w:val="Heading1"/>
      </w:pPr>
      <w:bookmarkStart w:id="211" w:name="_Toc94041333"/>
      <w:bookmarkStart w:id="212" w:name="_Toc94041503"/>
      <w:bookmarkStart w:id="213" w:name="_Toc94042235"/>
      <w:bookmarkStart w:id="214" w:name="_Toc94042706"/>
      <w:bookmarkStart w:id="215" w:name="_Toc94042890"/>
      <w:bookmarkStart w:id="216" w:name="_Toc94043013"/>
      <w:bookmarkStart w:id="217" w:name="_Toc94043134"/>
      <w:bookmarkStart w:id="218" w:name="_Toc94043180"/>
      <w:bookmarkStart w:id="219" w:name="_Toc94043226"/>
      <w:bookmarkStart w:id="220" w:name="_Toc94041334"/>
      <w:bookmarkStart w:id="221" w:name="_Toc94041504"/>
      <w:bookmarkStart w:id="222" w:name="_Toc94042236"/>
      <w:bookmarkStart w:id="223" w:name="_Toc94042707"/>
      <w:bookmarkStart w:id="224" w:name="_Toc94042891"/>
      <w:bookmarkStart w:id="225" w:name="_Toc94043014"/>
      <w:bookmarkStart w:id="226" w:name="_Toc94043135"/>
      <w:bookmarkStart w:id="227" w:name="_Toc94043181"/>
      <w:bookmarkStart w:id="228" w:name="_Toc94043227"/>
      <w:bookmarkStart w:id="229" w:name="_Toc94041335"/>
      <w:bookmarkStart w:id="230" w:name="_Toc94041505"/>
      <w:bookmarkStart w:id="231" w:name="_Toc94042237"/>
      <w:bookmarkStart w:id="232" w:name="_Toc94042708"/>
      <w:bookmarkStart w:id="233" w:name="_Toc94042892"/>
      <w:bookmarkStart w:id="234" w:name="_Toc94043015"/>
      <w:bookmarkStart w:id="235" w:name="_Toc94043136"/>
      <w:bookmarkStart w:id="236" w:name="_Toc94043182"/>
      <w:bookmarkStart w:id="237" w:name="_Toc94043228"/>
      <w:bookmarkStart w:id="238" w:name="_Toc94041336"/>
      <w:bookmarkStart w:id="239" w:name="_Toc94041506"/>
      <w:bookmarkStart w:id="240" w:name="_Toc94042238"/>
      <w:bookmarkStart w:id="241" w:name="_Toc94042709"/>
      <w:bookmarkStart w:id="242" w:name="_Toc94042893"/>
      <w:bookmarkStart w:id="243" w:name="_Toc94043016"/>
      <w:bookmarkStart w:id="244" w:name="_Toc94043137"/>
      <w:bookmarkStart w:id="245" w:name="_Toc94043183"/>
      <w:bookmarkStart w:id="246" w:name="_Toc94043229"/>
      <w:bookmarkStart w:id="247" w:name="_Toc94041337"/>
      <w:bookmarkStart w:id="248" w:name="_Toc94041507"/>
      <w:bookmarkStart w:id="249" w:name="_Toc94042239"/>
      <w:bookmarkStart w:id="250" w:name="_Toc94042710"/>
      <w:bookmarkStart w:id="251" w:name="_Toc94042894"/>
      <w:bookmarkStart w:id="252" w:name="_Toc94043017"/>
      <w:bookmarkStart w:id="253" w:name="_Toc94043138"/>
      <w:bookmarkStart w:id="254" w:name="_Toc94043184"/>
      <w:bookmarkStart w:id="255" w:name="_Toc94043230"/>
      <w:bookmarkStart w:id="256" w:name="_Toc9684142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r>
        <w:lastRenderedPageBreak/>
        <w:t>Descrição dos sistemas de energia existentes</w:t>
      </w:r>
      <w:bookmarkEnd w:id="256"/>
    </w:p>
    <w:p w14:paraId="36E012AD" w14:textId="0B03C760" w:rsidR="002E2469" w:rsidRPr="002E2469" w:rsidRDefault="00600A1D" w:rsidP="002E2469">
      <w:pPr>
        <w:pStyle w:val="Heading2"/>
      </w:pPr>
      <w:bookmarkStart w:id="257" w:name="_Hlk93440381"/>
      <w:bookmarkStart w:id="258" w:name="_Toc96841421"/>
      <w:r>
        <w:t xml:space="preserve">Sistemas de energia da </w:t>
      </w:r>
      <w:r w:rsidRPr="004B3625">
        <w:rPr>
          <w:i/>
          <w:iCs/>
        </w:rPr>
        <w:t>SADC</w:t>
      </w:r>
      <w:bookmarkEnd w:id="257"/>
      <w:bookmarkEnd w:id="258"/>
      <w:r>
        <w:t xml:space="preserve"> </w:t>
      </w:r>
    </w:p>
    <w:p w14:paraId="48582F40" w14:textId="3CC44D0D" w:rsidR="00C3269F" w:rsidRDefault="00C3269F" w:rsidP="00E40A60">
      <w:pPr>
        <w:pStyle w:val="Heading3"/>
      </w:pPr>
      <w:r>
        <w:t xml:space="preserve">Todos os Estados membros da </w:t>
      </w:r>
      <w:r w:rsidRPr="004B3625">
        <w:rPr>
          <w:i/>
          <w:iCs/>
        </w:rPr>
        <w:t>SADC</w:t>
      </w:r>
      <w:r>
        <w:t xml:space="preserve"> não</w:t>
      </w:r>
      <w:r w:rsidR="004B3625">
        <w:t>-</w:t>
      </w:r>
      <w:r>
        <w:t xml:space="preserve">insulares, com a excepção de Angola, Malawi e Tanzânia, estão interconectados através do </w:t>
      </w:r>
      <w:r w:rsidRPr="004B3625">
        <w:rPr>
          <w:i/>
          <w:iCs/>
        </w:rPr>
        <w:t>Sistema de Transporte Interconectado do Grupo Energético da África Austral (SAPP)</w:t>
      </w:r>
      <w:r>
        <w:t xml:space="preserve">, permitindo-lhes partilhar o excedente de energia. A nova capacidade de produção instalada em qualquer dos três países participantes não é acessível aos outros nove membros do </w:t>
      </w:r>
      <w:r w:rsidRPr="004B3625">
        <w:rPr>
          <w:i/>
          <w:iCs/>
        </w:rPr>
        <w:t>SAPP</w:t>
      </w:r>
      <w:r>
        <w:t xml:space="preserve"> – Botswana, a República Democrática do Congo, Eswatini, Lesoto, Moçambique, Namíbia, África do Sul, Zâmbia e Zimbabwe.</w:t>
      </w:r>
    </w:p>
    <w:p w14:paraId="116B2458" w14:textId="72B3267C" w:rsidR="00E40A60" w:rsidRPr="00E40A60" w:rsidRDefault="00E40A60" w:rsidP="00036C94">
      <w:pPr>
        <w:pStyle w:val="Heading3"/>
      </w:pPr>
      <w:r>
        <w:t xml:space="preserve">O corredor central de transporte que passa pelo Zimbabwe e a Zâmbia é particularmente importante para a região, uma vez que a rede de electricidade do Zimbabwe é interconectada a todos os seus vizinhos e, portanto, serve de principal trave-mestra de </w:t>
      </w:r>
      <w:r w:rsidRPr="004B3625">
        <w:rPr>
          <w:i/>
          <w:iCs/>
        </w:rPr>
        <w:t>interconexão</w:t>
      </w:r>
      <w:r>
        <w:t xml:space="preserve"> ao resto da região. A maior parte das operadoras (</w:t>
      </w:r>
      <w:proofErr w:type="spellStart"/>
      <w:r w:rsidRPr="001821C7">
        <w:rPr>
          <w:i/>
          <w:iCs/>
        </w:rPr>
        <w:t>utilities</w:t>
      </w:r>
      <w:proofErr w:type="spellEnd"/>
      <w:r>
        <w:t>) tem contratos de alimentação de energia que usam ou precisam de usar a rede de transporte do Zimbabwe para efeitos de terceirização de energia.</w:t>
      </w:r>
    </w:p>
    <w:p w14:paraId="07052075" w14:textId="3589255F" w:rsidR="00E40A60" w:rsidRDefault="00E40A60" w:rsidP="00E40A60">
      <w:pPr>
        <w:pStyle w:val="Heading3"/>
      </w:pPr>
      <w:r>
        <w:t>As operadoras (</w:t>
      </w:r>
      <w:proofErr w:type="spellStart"/>
      <w:r w:rsidRPr="001821C7">
        <w:rPr>
          <w:i/>
          <w:iCs/>
        </w:rPr>
        <w:t>utilities</w:t>
      </w:r>
      <w:proofErr w:type="spellEnd"/>
      <w:r>
        <w:t xml:space="preserve">) de energia nos Estados membros não-insulares da </w:t>
      </w:r>
      <w:r w:rsidRPr="001821C7">
        <w:rPr>
          <w:i/>
          <w:iCs/>
        </w:rPr>
        <w:t>SADC</w:t>
      </w:r>
      <w:r>
        <w:t xml:space="preserve">, com a excepção de Angola, Malawi e a República Unida da Tanzânia, são interconectadas através do </w:t>
      </w:r>
      <w:r w:rsidRPr="001821C7">
        <w:rPr>
          <w:i/>
          <w:iCs/>
        </w:rPr>
        <w:t>SAPP</w:t>
      </w:r>
      <w:r>
        <w:t xml:space="preserve">, permitindo-lhes vender electricidade uns aos outros </w:t>
      </w:r>
      <w:r w:rsidR="001821C7">
        <w:t>através</w:t>
      </w:r>
      <w:r>
        <w:t xml:space="preserve"> dum mercado competitivo.</w:t>
      </w:r>
    </w:p>
    <w:p w14:paraId="3B9B3525" w14:textId="6D56E76A" w:rsidR="007C58A5" w:rsidRPr="0081527D" w:rsidRDefault="0081527D" w:rsidP="00036C94">
      <w:pPr>
        <w:pStyle w:val="Heading3"/>
      </w:pPr>
      <w:r>
        <w:t xml:space="preserve">Os Estados insulares de Comores, Madagáscar, Maurícias e Seicheles não fazem parte da rede regional do </w:t>
      </w:r>
      <w:r w:rsidRPr="001821C7">
        <w:rPr>
          <w:i/>
          <w:iCs/>
        </w:rPr>
        <w:t>SA</w:t>
      </w:r>
      <w:r w:rsidR="001821C7" w:rsidRPr="001821C7">
        <w:rPr>
          <w:i/>
          <w:iCs/>
        </w:rPr>
        <w:t>PP</w:t>
      </w:r>
      <w:r>
        <w:t xml:space="preserve"> e os produtores e consumidores finais nas ilhas não têm portanto acesso ao mercado do </w:t>
      </w:r>
      <w:r w:rsidRPr="001821C7">
        <w:rPr>
          <w:i/>
          <w:iCs/>
        </w:rPr>
        <w:t>SAPP</w:t>
      </w:r>
      <w:r>
        <w:t xml:space="preserve"> ou às redes interconectadas. </w:t>
      </w:r>
    </w:p>
    <w:p w14:paraId="2CC09DAD" w14:textId="3AB8EDF3" w:rsidR="004F5DC1" w:rsidRDefault="0081527D" w:rsidP="004F5DC1">
      <w:pPr>
        <w:pStyle w:val="Heading2"/>
      </w:pPr>
      <w:bookmarkStart w:id="259" w:name="_Hlk93440294"/>
      <w:bookmarkStart w:id="260" w:name="_Toc96841422"/>
      <w:r>
        <w:t>Tensões de transporte</w:t>
      </w:r>
      <w:bookmarkEnd w:id="259"/>
      <w:bookmarkEnd w:id="260"/>
    </w:p>
    <w:p w14:paraId="408815FF" w14:textId="6C87CE25" w:rsidR="00FE698F" w:rsidRDefault="00FE698F" w:rsidP="00FE698F">
      <w:pPr>
        <w:pStyle w:val="Heading3"/>
      </w:pPr>
      <w:r>
        <w:t>Os seguintes níveis de tensão de corrente alternativa (CA) são usados dentro dos países da SADC.</w:t>
      </w:r>
    </w:p>
    <w:p w14:paraId="18BAC859" w14:textId="77777777" w:rsidR="00C31A88" w:rsidRPr="00080681" w:rsidRDefault="00C31A88" w:rsidP="00036C94">
      <w:pPr>
        <w:rPr>
          <w:lang w:val="en-GB"/>
        </w:rPr>
      </w:pPr>
    </w:p>
    <w:p w14:paraId="1EC22835" w14:textId="7CD6A2E4" w:rsidR="000A6083" w:rsidRDefault="00C31A88" w:rsidP="00036C94">
      <w:pPr>
        <w:pStyle w:val="Caption"/>
      </w:pPr>
      <w:bookmarkStart w:id="261" w:name="_Toc96072946"/>
      <w:r>
        <w:t xml:space="preserve">Quadro </w:t>
      </w:r>
      <w:r w:rsidR="001821C7">
        <w:fldChar w:fldCharType="begin"/>
      </w:r>
      <w:r w:rsidR="001821C7">
        <w:instrText xml:space="preserve"> SEQ Table \* ARABIC </w:instrText>
      </w:r>
      <w:r w:rsidR="001821C7">
        <w:fldChar w:fldCharType="separate"/>
      </w:r>
      <w:r w:rsidR="006B0C4D">
        <w:rPr>
          <w:noProof/>
        </w:rPr>
        <w:t>1</w:t>
      </w:r>
      <w:r w:rsidR="001821C7">
        <w:rPr>
          <w:noProof/>
        </w:rPr>
        <w:fldChar w:fldCharType="end"/>
      </w:r>
      <w:r>
        <w:t xml:space="preserve">. </w:t>
      </w:r>
      <w:r w:rsidR="001821C7">
        <w:t>Voltagens</w:t>
      </w:r>
      <w:r>
        <w:t xml:space="preserve"> de transporte nos </w:t>
      </w:r>
      <w:r w:rsidRPr="001821C7">
        <w:rPr>
          <w:i/>
          <w:iCs/>
        </w:rPr>
        <w:t>Estados membros da SADC</w:t>
      </w:r>
      <w:bookmarkEnd w:id="261"/>
    </w:p>
    <w:tbl>
      <w:tblPr>
        <w:tblW w:w="8700" w:type="dxa"/>
        <w:tblLook w:val="04A0" w:firstRow="1" w:lastRow="0" w:firstColumn="1" w:lastColumn="0" w:noHBand="0" w:noVBand="1"/>
      </w:tblPr>
      <w:tblGrid>
        <w:gridCol w:w="3460"/>
        <w:gridCol w:w="5240"/>
      </w:tblGrid>
      <w:tr w:rsidR="000A6083" w:rsidRPr="000A6083" w14:paraId="7F3390A3" w14:textId="77777777" w:rsidTr="000A6083">
        <w:trPr>
          <w:trHeight w:val="276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7EEE" w14:textId="77777777" w:rsidR="000A6083" w:rsidRPr="000A6083" w:rsidRDefault="000A6083" w:rsidP="00036C94">
            <w:pPr>
              <w:spacing w:before="0" w:line="360" w:lineRule="auto"/>
              <w:contextualSpacing w:val="0"/>
              <w:jc w:val="left"/>
              <w:rPr>
                <w:rFonts w:cs="Arial"/>
                <w:b/>
                <w:bCs/>
                <w:color w:val="000000"/>
                <w:szCs w:val="22"/>
              </w:rPr>
            </w:pPr>
            <w:bookmarkStart w:id="262" w:name="_Hlk95990221"/>
            <w:r>
              <w:rPr>
                <w:b/>
                <w:bCs/>
                <w:color w:val="000000"/>
                <w:szCs w:val="22"/>
              </w:rPr>
              <w:t xml:space="preserve">País da SADC 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6461" w14:textId="77777777" w:rsidR="000A6083" w:rsidRPr="000A6083" w:rsidRDefault="000A6083" w:rsidP="00036C94">
            <w:pPr>
              <w:spacing w:before="0" w:line="360" w:lineRule="auto"/>
              <w:contextualSpacing w:val="0"/>
              <w:jc w:val="left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 xml:space="preserve">Voltagem: </w:t>
            </w:r>
          </w:p>
        </w:tc>
      </w:tr>
      <w:tr w:rsidR="000A6083" w:rsidRPr="000A6083" w14:paraId="72C996EA" w14:textId="77777777" w:rsidTr="000A6083">
        <w:trPr>
          <w:trHeight w:val="27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AE47" w14:textId="77777777" w:rsidR="000A6083" w:rsidRPr="000A6083" w:rsidRDefault="000A6083" w:rsidP="00036C94">
            <w:pPr>
              <w:spacing w:before="0" w:line="360" w:lineRule="auto"/>
              <w:contextualSpacing w:val="0"/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Angola 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ADDBD" w14:textId="77777777" w:rsidR="000A6083" w:rsidRPr="000A6083" w:rsidRDefault="000A6083" w:rsidP="00036C94">
            <w:pPr>
              <w:spacing w:before="0" w:line="360" w:lineRule="auto"/>
              <w:contextualSpacing w:val="0"/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220 kV e 400 kV</w:t>
            </w:r>
          </w:p>
        </w:tc>
      </w:tr>
      <w:tr w:rsidR="000A6083" w:rsidRPr="000A6083" w14:paraId="0F5C418A" w14:textId="77777777" w:rsidTr="000A6083">
        <w:trPr>
          <w:trHeight w:val="27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877E" w14:textId="77777777" w:rsidR="000A6083" w:rsidRPr="000A6083" w:rsidRDefault="000A6083" w:rsidP="00036C94">
            <w:pPr>
              <w:spacing w:before="0" w:line="360" w:lineRule="auto"/>
              <w:contextualSpacing w:val="0"/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Botswana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DC99B" w14:textId="03DBE886" w:rsidR="000A6083" w:rsidRPr="000A6083" w:rsidRDefault="00E70AC0" w:rsidP="00036C94">
            <w:pPr>
              <w:spacing w:before="0" w:line="360" w:lineRule="auto"/>
              <w:contextualSpacing w:val="0"/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132 kV, 220 kV, 400 kV</w:t>
            </w:r>
          </w:p>
        </w:tc>
      </w:tr>
      <w:tr w:rsidR="000A6083" w:rsidRPr="000A6083" w14:paraId="672B1A6A" w14:textId="77777777" w:rsidTr="000A6083">
        <w:trPr>
          <w:trHeight w:val="27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F2EB" w14:textId="77777777" w:rsidR="000A6083" w:rsidRPr="000A6083" w:rsidRDefault="000A6083" w:rsidP="00036C94">
            <w:pPr>
              <w:spacing w:before="0" w:line="360" w:lineRule="auto"/>
              <w:contextualSpacing w:val="0"/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Comores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60C86" w14:textId="77777777" w:rsidR="000A6083" w:rsidRPr="000A6083" w:rsidRDefault="000A6083" w:rsidP="00036C94">
            <w:pPr>
              <w:spacing w:before="0" w:line="360" w:lineRule="auto"/>
              <w:contextualSpacing w:val="0"/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20 kV</w:t>
            </w:r>
          </w:p>
        </w:tc>
      </w:tr>
      <w:tr w:rsidR="000A6083" w:rsidRPr="000A6083" w14:paraId="0E7B761A" w14:textId="77777777" w:rsidTr="00036C94">
        <w:trPr>
          <w:trHeight w:val="27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3503" w14:textId="4136D400" w:rsidR="000A6083" w:rsidRPr="000A6083" w:rsidRDefault="000A6083" w:rsidP="00036C94">
            <w:pPr>
              <w:spacing w:before="0" w:line="360" w:lineRule="auto"/>
              <w:contextualSpacing w:val="0"/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República Democrática do Congo (DRC)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BB27E" w14:textId="77777777" w:rsidR="000A6083" w:rsidRPr="000A6083" w:rsidRDefault="000A6083" w:rsidP="00036C94">
            <w:pPr>
              <w:spacing w:before="0" w:line="360" w:lineRule="auto"/>
              <w:contextualSpacing w:val="0"/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225 kV e 400 kV</w:t>
            </w:r>
          </w:p>
        </w:tc>
      </w:tr>
      <w:tr w:rsidR="000A6083" w:rsidRPr="000A6083" w14:paraId="663B362A" w14:textId="77777777" w:rsidTr="000A6083">
        <w:trPr>
          <w:trHeight w:val="27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6D55" w14:textId="77777777" w:rsidR="000A6083" w:rsidRPr="000A6083" w:rsidRDefault="000A6083" w:rsidP="00036C94">
            <w:pPr>
              <w:spacing w:before="0" w:line="360" w:lineRule="auto"/>
              <w:contextualSpacing w:val="0"/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Eswatini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51DF5" w14:textId="77777777" w:rsidR="000A6083" w:rsidRPr="000A6083" w:rsidRDefault="000A6083" w:rsidP="00036C94">
            <w:pPr>
              <w:spacing w:before="0" w:line="360" w:lineRule="auto"/>
              <w:contextualSpacing w:val="0"/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66 kV a 400 kV </w:t>
            </w:r>
          </w:p>
        </w:tc>
      </w:tr>
      <w:tr w:rsidR="000A6083" w:rsidRPr="000A6083" w14:paraId="3B82535B" w14:textId="77777777" w:rsidTr="000A6083">
        <w:trPr>
          <w:trHeight w:val="27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D456" w14:textId="77777777" w:rsidR="000A6083" w:rsidRPr="000A6083" w:rsidRDefault="000A6083" w:rsidP="00036C94">
            <w:pPr>
              <w:spacing w:before="0" w:line="360" w:lineRule="auto"/>
              <w:contextualSpacing w:val="0"/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Lesoto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38A03" w14:textId="77777777" w:rsidR="000A6083" w:rsidRPr="000A6083" w:rsidRDefault="000A6083" w:rsidP="00036C94">
            <w:pPr>
              <w:spacing w:before="0" w:line="360" w:lineRule="auto"/>
              <w:contextualSpacing w:val="0"/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33 kV, 66 kV,88kV e 132 kV</w:t>
            </w:r>
          </w:p>
        </w:tc>
      </w:tr>
      <w:tr w:rsidR="000A6083" w:rsidRPr="000A6083" w14:paraId="3EDA0BA2" w14:textId="77777777" w:rsidTr="000A6083">
        <w:trPr>
          <w:trHeight w:val="27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A1BA" w14:textId="77777777" w:rsidR="000A6083" w:rsidRPr="000A6083" w:rsidRDefault="000A6083" w:rsidP="00036C94">
            <w:pPr>
              <w:spacing w:before="0" w:line="360" w:lineRule="auto"/>
              <w:contextualSpacing w:val="0"/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Madagáscar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D23FA" w14:textId="2CAD99C6" w:rsidR="000A6083" w:rsidRPr="000A6083" w:rsidRDefault="004C4AA7" w:rsidP="00036C94">
            <w:pPr>
              <w:spacing w:before="0" w:line="360" w:lineRule="auto"/>
              <w:contextualSpacing w:val="0"/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63 kV, 90 kV,138 kV e 220 kV</w:t>
            </w:r>
          </w:p>
        </w:tc>
      </w:tr>
      <w:tr w:rsidR="000A6083" w:rsidRPr="000A6083" w14:paraId="518304A6" w14:textId="77777777" w:rsidTr="000A6083">
        <w:trPr>
          <w:trHeight w:val="27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0936" w14:textId="77777777" w:rsidR="000A6083" w:rsidRPr="000A6083" w:rsidRDefault="000A6083" w:rsidP="00036C94">
            <w:pPr>
              <w:spacing w:before="0" w:line="360" w:lineRule="auto"/>
              <w:contextualSpacing w:val="0"/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lastRenderedPageBreak/>
              <w:t>Malawi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741C4" w14:textId="0EBF93B8" w:rsidR="000A6083" w:rsidRPr="000A6083" w:rsidRDefault="000A6083" w:rsidP="00036C94">
            <w:pPr>
              <w:spacing w:before="0" w:line="360" w:lineRule="auto"/>
              <w:contextualSpacing w:val="0"/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66 kV e 132 kV</w:t>
            </w:r>
          </w:p>
        </w:tc>
      </w:tr>
      <w:tr w:rsidR="000A6083" w:rsidRPr="000A6083" w14:paraId="05B649D5" w14:textId="77777777" w:rsidTr="000A6083">
        <w:trPr>
          <w:trHeight w:val="27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254E" w14:textId="77777777" w:rsidR="000A6083" w:rsidRPr="000A6083" w:rsidRDefault="000A6083" w:rsidP="00036C94">
            <w:pPr>
              <w:spacing w:before="0" w:line="360" w:lineRule="auto"/>
              <w:contextualSpacing w:val="0"/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Maurícias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1E260" w14:textId="77777777" w:rsidR="000A6083" w:rsidRPr="000A6083" w:rsidRDefault="000A6083" w:rsidP="00036C94">
            <w:pPr>
              <w:spacing w:before="0" w:line="360" w:lineRule="auto"/>
              <w:contextualSpacing w:val="0"/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22 kV e 66 kV</w:t>
            </w:r>
          </w:p>
        </w:tc>
      </w:tr>
      <w:tr w:rsidR="000A6083" w:rsidRPr="000A6083" w14:paraId="3C0B024D" w14:textId="77777777" w:rsidTr="000A6083">
        <w:trPr>
          <w:trHeight w:val="27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1266" w14:textId="77777777" w:rsidR="000A6083" w:rsidRPr="000A6083" w:rsidRDefault="000A6083" w:rsidP="00036C94">
            <w:pPr>
              <w:spacing w:before="0" w:line="360" w:lineRule="auto"/>
              <w:contextualSpacing w:val="0"/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Moçambique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D985E" w14:textId="14AAB40D" w:rsidR="000A6083" w:rsidRPr="000A6083" w:rsidRDefault="00C36842" w:rsidP="00036C94">
            <w:pPr>
              <w:spacing w:before="0" w:line="360" w:lineRule="auto"/>
              <w:contextualSpacing w:val="0"/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66 kV, 110 kV, 220 kV, 275 kV, 400 kV</w:t>
            </w:r>
          </w:p>
        </w:tc>
      </w:tr>
      <w:tr w:rsidR="000A6083" w:rsidRPr="000A6083" w14:paraId="1038158E" w14:textId="77777777" w:rsidTr="000A6083">
        <w:trPr>
          <w:trHeight w:val="27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07A3" w14:textId="77777777" w:rsidR="000A6083" w:rsidRPr="000A6083" w:rsidRDefault="000A6083" w:rsidP="00036C94">
            <w:pPr>
              <w:spacing w:before="0" w:line="360" w:lineRule="auto"/>
              <w:contextualSpacing w:val="0"/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Namíbia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5AC84" w14:textId="3F5C9A42" w:rsidR="000A6083" w:rsidRPr="000A6083" w:rsidRDefault="000A6083" w:rsidP="00036C94">
            <w:pPr>
              <w:spacing w:before="0" w:line="360" w:lineRule="auto"/>
              <w:contextualSpacing w:val="0"/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132 kV, 220 kV, 330 kV,350 kV e 400 kV</w:t>
            </w:r>
          </w:p>
        </w:tc>
      </w:tr>
      <w:tr w:rsidR="000A6083" w:rsidRPr="000A6083" w14:paraId="2612F243" w14:textId="77777777" w:rsidTr="000A6083">
        <w:trPr>
          <w:trHeight w:val="27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94A5" w14:textId="77777777" w:rsidR="000A6083" w:rsidRPr="000A6083" w:rsidRDefault="000A6083" w:rsidP="00036C94">
            <w:pPr>
              <w:spacing w:before="0" w:line="360" w:lineRule="auto"/>
              <w:contextualSpacing w:val="0"/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Seicheles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65049" w14:textId="77777777" w:rsidR="000A6083" w:rsidRPr="000A6083" w:rsidRDefault="000A6083" w:rsidP="00036C94">
            <w:pPr>
              <w:spacing w:before="0" w:line="360" w:lineRule="auto"/>
              <w:contextualSpacing w:val="0"/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11 kV e 33 kV</w:t>
            </w:r>
          </w:p>
        </w:tc>
      </w:tr>
      <w:tr w:rsidR="000A6083" w:rsidRPr="000A6083" w14:paraId="350F5015" w14:textId="77777777" w:rsidTr="00036C94">
        <w:trPr>
          <w:trHeight w:val="55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4C3D7" w14:textId="77777777" w:rsidR="000A6083" w:rsidRPr="000A6083" w:rsidRDefault="000A6083" w:rsidP="00036C94">
            <w:pPr>
              <w:spacing w:before="0" w:line="360" w:lineRule="auto"/>
              <w:contextualSpacing w:val="0"/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África do Sul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9DE3B" w14:textId="73CA0061" w:rsidR="000A6083" w:rsidRPr="000A6083" w:rsidRDefault="000A6083" w:rsidP="00036C94">
            <w:pPr>
              <w:spacing w:before="0" w:line="360" w:lineRule="auto"/>
              <w:contextualSpacing w:val="0"/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132 kV, 132 kV, 220 kV, 330 kV,400 kV 500 kV e 765 kV</w:t>
            </w:r>
          </w:p>
        </w:tc>
      </w:tr>
      <w:tr w:rsidR="000A6083" w:rsidRPr="000A6083" w14:paraId="55BC8C80" w14:textId="77777777" w:rsidTr="000A6083">
        <w:trPr>
          <w:trHeight w:val="27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F685" w14:textId="77777777" w:rsidR="000A6083" w:rsidRPr="000A6083" w:rsidRDefault="000A6083" w:rsidP="00036C94">
            <w:pPr>
              <w:spacing w:before="0" w:line="360" w:lineRule="auto"/>
              <w:contextualSpacing w:val="0"/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República Unida da Tanzânia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10B54" w14:textId="1D6E89B9" w:rsidR="000A6083" w:rsidRPr="000A6083" w:rsidRDefault="000A6083" w:rsidP="00036C94">
            <w:pPr>
              <w:spacing w:before="0" w:line="360" w:lineRule="auto"/>
              <w:contextualSpacing w:val="0"/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66 kV, 132 kV,220 kV e 330 kV</w:t>
            </w:r>
          </w:p>
        </w:tc>
      </w:tr>
      <w:tr w:rsidR="000A6083" w:rsidRPr="000A6083" w14:paraId="48D15F41" w14:textId="77777777" w:rsidTr="000A6083">
        <w:trPr>
          <w:trHeight w:val="27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F56C" w14:textId="77777777" w:rsidR="000A6083" w:rsidRPr="000A6083" w:rsidRDefault="000A6083" w:rsidP="00036C94">
            <w:pPr>
              <w:spacing w:before="0" w:line="360" w:lineRule="auto"/>
              <w:contextualSpacing w:val="0"/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Zâmbia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211CB" w14:textId="77777777" w:rsidR="000A6083" w:rsidRPr="000A6083" w:rsidRDefault="000A6083" w:rsidP="00036C94">
            <w:pPr>
              <w:spacing w:before="0" w:line="360" w:lineRule="auto"/>
              <w:contextualSpacing w:val="0"/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132 kV e 330 kV</w:t>
            </w:r>
          </w:p>
        </w:tc>
      </w:tr>
      <w:tr w:rsidR="000A6083" w:rsidRPr="000A6083" w14:paraId="0A82D438" w14:textId="77777777" w:rsidTr="00036C94">
        <w:trPr>
          <w:trHeight w:val="55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01788" w14:textId="77777777" w:rsidR="000A6083" w:rsidRPr="000A6083" w:rsidRDefault="000A6083" w:rsidP="00036C94">
            <w:pPr>
              <w:spacing w:before="0" w:line="360" w:lineRule="auto"/>
              <w:contextualSpacing w:val="0"/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Zimbabwe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38ADB" w14:textId="4786EDAE" w:rsidR="000A6083" w:rsidRPr="000A6083" w:rsidRDefault="008D54DF" w:rsidP="00036C94">
            <w:pPr>
              <w:spacing w:before="0" w:line="360" w:lineRule="auto"/>
              <w:contextualSpacing w:val="0"/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110 kV, 220 kV, 330 kV, 400 kV </w:t>
            </w:r>
          </w:p>
        </w:tc>
      </w:tr>
      <w:bookmarkEnd w:id="262"/>
    </w:tbl>
    <w:p w14:paraId="5C7A7FBF" w14:textId="77777777" w:rsidR="000A6083" w:rsidRPr="000A6083" w:rsidRDefault="000A6083" w:rsidP="000A6083">
      <w:pPr>
        <w:rPr>
          <w:lang w:val="en-GB"/>
        </w:rPr>
      </w:pPr>
    </w:p>
    <w:p w14:paraId="7E190AF1" w14:textId="77777777" w:rsidR="00943EB4" w:rsidRPr="00943EB4" w:rsidRDefault="00943EB4" w:rsidP="00943EB4">
      <w:pPr>
        <w:rPr>
          <w:lang w:val="en-GB"/>
        </w:rPr>
      </w:pPr>
    </w:p>
    <w:p w14:paraId="5BB46394" w14:textId="2D69EB15" w:rsidR="00870E73" w:rsidRPr="00DE4D13" w:rsidRDefault="00870E73">
      <w:pPr>
        <w:pStyle w:val="Heading2"/>
      </w:pPr>
      <w:bookmarkStart w:id="263" w:name="_Hlk93440802"/>
      <w:bookmarkStart w:id="264" w:name="_Toc96841423"/>
      <w:r>
        <w:t>Projectos de interesse regional</w:t>
      </w:r>
      <w:bookmarkEnd w:id="263"/>
      <w:bookmarkEnd w:id="264"/>
    </w:p>
    <w:p w14:paraId="7356830C" w14:textId="6EC9550D" w:rsidR="00FE698F" w:rsidRDefault="00FE698F" w:rsidP="00FE698F">
      <w:pPr>
        <w:pStyle w:val="Heading3"/>
      </w:pPr>
      <w:r>
        <w:t>Nos últimos anos, a SADC identificou uma série de projectos prioritários para implementação, a fim de melhorar o fornecimento da energia na região. A secção que se segue dá o estatuto dos principais projectos de transporte, e a figura 2 apresenta alguns dos projectos planeados.</w:t>
      </w:r>
    </w:p>
    <w:p w14:paraId="50BD8F5E" w14:textId="77777777" w:rsidR="00B1690E" w:rsidRPr="00B1690E" w:rsidRDefault="00B1690E" w:rsidP="00B1690E"/>
    <w:p w14:paraId="50DB2E68" w14:textId="77777777" w:rsidR="00FE698F" w:rsidRPr="00FE698F" w:rsidRDefault="00FE698F" w:rsidP="00FE698F"/>
    <w:p w14:paraId="1C82F937" w14:textId="77777777" w:rsidR="000718AD" w:rsidRDefault="00FE698F" w:rsidP="00036C94">
      <w:pPr>
        <w:keepNext/>
        <w:jc w:val="center"/>
      </w:pPr>
      <w:r>
        <w:rPr>
          <w:noProof/>
        </w:rPr>
        <w:drawing>
          <wp:inline distT="0" distB="0" distL="0" distR="0" wp14:anchorId="7831F60A" wp14:editId="533013B2">
            <wp:extent cx="5506720" cy="34518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06720" cy="345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1593E" w14:textId="7A5B59D6" w:rsidR="00FE698F" w:rsidRPr="00FE698F" w:rsidRDefault="000718AD" w:rsidP="00036C94">
      <w:pPr>
        <w:pStyle w:val="Caption"/>
        <w:jc w:val="center"/>
      </w:pPr>
      <w:bookmarkStart w:id="265" w:name="_Toc96808959"/>
      <w:r>
        <w:t xml:space="preserve">Figura </w:t>
      </w:r>
      <w:r w:rsidR="001821C7">
        <w:fldChar w:fldCharType="begin"/>
      </w:r>
      <w:r w:rsidR="001821C7">
        <w:instrText xml:space="preserve"> SEQ </w:instrText>
      </w:r>
      <w:r w:rsidR="001821C7">
        <w:instrText xml:space="preserve">Figure \* ARABIC </w:instrText>
      </w:r>
      <w:r w:rsidR="001821C7">
        <w:fldChar w:fldCharType="separate"/>
      </w:r>
      <w:r w:rsidR="006B0C4D">
        <w:rPr>
          <w:noProof/>
        </w:rPr>
        <w:t>3</w:t>
      </w:r>
      <w:r w:rsidR="001821C7">
        <w:rPr>
          <w:noProof/>
        </w:rPr>
        <w:fldChar w:fldCharType="end"/>
      </w:r>
      <w:r>
        <w:t>. Projectos de transporte planeados (fonte: SAPP</w:t>
      </w:r>
      <w:bookmarkEnd w:id="265"/>
    </w:p>
    <w:p w14:paraId="264AFD6F" w14:textId="77777777" w:rsidR="00A13A41" w:rsidRDefault="00A13A41" w:rsidP="00A13A41"/>
    <w:p w14:paraId="150DCBCA" w14:textId="32AADB0E" w:rsidR="00870E73" w:rsidRDefault="00870E73">
      <w:pPr>
        <w:pStyle w:val="Heading3"/>
      </w:pPr>
      <w:r>
        <w:lastRenderedPageBreak/>
        <w:t>Os projectos de interesse regional que estão em desenvolvimento [em 2022] incluem os seguintes:</w:t>
      </w:r>
    </w:p>
    <w:p w14:paraId="593D6B39" w14:textId="1331FC77" w:rsidR="00B1690E" w:rsidRPr="00036C94" w:rsidRDefault="00B1690E" w:rsidP="009E4502">
      <w:pPr>
        <w:rPr>
          <w:lang w:val="en-GB"/>
        </w:rPr>
      </w:pPr>
    </w:p>
    <w:p w14:paraId="302B292F" w14:textId="45BC372B" w:rsidR="007C58A5" w:rsidRPr="009B5657" w:rsidRDefault="00870E73" w:rsidP="009B5657">
      <w:pPr>
        <w:pStyle w:val="ListParagraph"/>
        <w:numPr>
          <w:ilvl w:val="0"/>
          <w:numId w:val="6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Um plano visando interconectar Angola, Malawi e Tanzânia à rede de energia regional, para permitir a todos os Estados membros da SADC não-insulares de beneficiarem de qualquer nova capacidade de produção instalada nos referidos países. Este projecto está </w:t>
      </w:r>
      <w:r w:rsidR="001821C7">
        <w:rPr>
          <w:rFonts w:ascii="Arial" w:hAnsi="Arial"/>
          <w:sz w:val="22"/>
          <w:szCs w:val="22"/>
        </w:rPr>
        <w:t>em implementação</w:t>
      </w:r>
      <w:r>
        <w:rPr>
          <w:rFonts w:ascii="Arial" w:hAnsi="Arial"/>
          <w:sz w:val="22"/>
          <w:szCs w:val="22"/>
        </w:rPr>
        <w:t>.</w:t>
      </w:r>
    </w:p>
    <w:p w14:paraId="02D7C7E5" w14:textId="5CF6A545" w:rsidR="007C58A5" w:rsidRPr="009B5657" w:rsidRDefault="007C58A5" w:rsidP="009B5657">
      <w:pPr>
        <w:pStyle w:val="ListParagraph"/>
        <w:numPr>
          <w:ilvl w:val="0"/>
          <w:numId w:val="6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 interligação Angola -Namíbia implica a construção de linhas de transporte de energia a partir da proposta central </w:t>
      </w:r>
      <w:r w:rsidR="001821C7">
        <w:rPr>
          <w:rFonts w:ascii="Arial" w:hAnsi="Arial"/>
          <w:sz w:val="22"/>
          <w:szCs w:val="22"/>
        </w:rPr>
        <w:t>hidroeléctrica</w:t>
      </w:r>
      <w:r>
        <w:rPr>
          <w:rFonts w:ascii="Arial" w:hAnsi="Arial"/>
          <w:sz w:val="22"/>
          <w:szCs w:val="22"/>
        </w:rPr>
        <w:t xml:space="preserve"> de </w:t>
      </w:r>
      <w:proofErr w:type="spellStart"/>
      <w:r>
        <w:rPr>
          <w:rFonts w:ascii="Arial" w:hAnsi="Arial"/>
          <w:sz w:val="22"/>
          <w:szCs w:val="22"/>
        </w:rPr>
        <w:t>Baynes</w:t>
      </w:r>
      <w:proofErr w:type="spellEnd"/>
      <w:r>
        <w:rPr>
          <w:rFonts w:ascii="Arial" w:hAnsi="Arial"/>
          <w:sz w:val="22"/>
          <w:szCs w:val="22"/>
        </w:rPr>
        <w:t xml:space="preserve"> na parte inferior do </w:t>
      </w:r>
      <w:proofErr w:type="spellStart"/>
      <w:r>
        <w:rPr>
          <w:rFonts w:ascii="Arial" w:hAnsi="Arial"/>
          <w:sz w:val="22"/>
          <w:szCs w:val="22"/>
        </w:rPr>
        <w:t>Kunene</w:t>
      </w:r>
      <w:proofErr w:type="spellEnd"/>
      <w:r>
        <w:rPr>
          <w:rFonts w:ascii="Arial" w:hAnsi="Arial"/>
          <w:sz w:val="22"/>
          <w:szCs w:val="22"/>
        </w:rPr>
        <w:t xml:space="preserve">, na Namíbia, para se ligar à rede </w:t>
      </w:r>
      <w:r w:rsidR="001821C7">
        <w:rPr>
          <w:rFonts w:ascii="Arial" w:hAnsi="Arial"/>
          <w:sz w:val="22"/>
          <w:szCs w:val="22"/>
        </w:rPr>
        <w:t>eléctrica nacional</w:t>
      </w:r>
      <w:r>
        <w:rPr>
          <w:rFonts w:ascii="Arial" w:hAnsi="Arial"/>
          <w:sz w:val="22"/>
          <w:szCs w:val="22"/>
        </w:rPr>
        <w:t xml:space="preserve"> de Angola. Esse projecto encontra-se na fase de viabilidade e espera-se que seja encomendado no decurso de 2022.</w:t>
      </w:r>
    </w:p>
    <w:p w14:paraId="2B1C4B2C" w14:textId="5AFF0FF7" w:rsidR="007C58A5" w:rsidRPr="009B5657" w:rsidRDefault="007C58A5" w:rsidP="009B5657">
      <w:pPr>
        <w:pStyle w:val="ListParagraph"/>
        <w:numPr>
          <w:ilvl w:val="0"/>
          <w:numId w:val="6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 interligação Angola-RDC faz parte da interligação Inga-Cabinda-Po</w:t>
      </w:r>
      <w:r w:rsidR="001821C7">
        <w:rPr>
          <w:rFonts w:ascii="Arial" w:hAnsi="Arial"/>
          <w:sz w:val="22"/>
          <w:szCs w:val="22"/>
        </w:rPr>
        <w:t>nta</w:t>
      </w:r>
      <w:r>
        <w:rPr>
          <w:rFonts w:ascii="Arial" w:hAnsi="Arial"/>
          <w:sz w:val="22"/>
          <w:szCs w:val="22"/>
        </w:rPr>
        <w:t xml:space="preserve"> N</w:t>
      </w:r>
      <w:r w:rsidR="001821C7">
        <w:rPr>
          <w:rFonts w:ascii="Arial" w:hAnsi="Arial"/>
          <w:sz w:val="22"/>
          <w:szCs w:val="22"/>
        </w:rPr>
        <w:t>egra</w:t>
      </w:r>
      <w:r>
        <w:rPr>
          <w:rFonts w:ascii="Arial" w:hAnsi="Arial"/>
          <w:sz w:val="22"/>
          <w:szCs w:val="22"/>
        </w:rPr>
        <w:t>, interligando o sistema de energia da RDC a Angola. O projecto implica a construção de um troço em Angola a partir da fronteira da RDC com Cabinda. Este projecto está na fase de pré-viabilidade.</w:t>
      </w:r>
    </w:p>
    <w:p w14:paraId="37790E12" w14:textId="5427656D" w:rsidR="007C58A5" w:rsidRPr="009B5657" w:rsidRDefault="007C58A5" w:rsidP="009B5657">
      <w:pPr>
        <w:pStyle w:val="ListParagraph"/>
        <w:numPr>
          <w:ilvl w:val="0"/>
          <w:numId w:val="6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 interligação Moçambique-Malawi vai implicar a construção de uma linha de energia a partir da </w:t>
      </w:r>
      <w:r w:rsidR="001821C7">
        <w:rPr>
          <w:rFonts w:ascii="Arial" w:hAnsi="Arial"/>
          <w:sz w:val="22"/>
          <w:szCs w:val="22"/>
        </w:rPr>
        <w:t>subestação</w:t>
      </w:r>
      <w:r>
        <w:rPr>
          <w:rFonts w:ascii="Arial" w:hAnsi="Arial"/>
          <w:sz w:val="22"/>
          <w:szCs w:val="22"/>
        </w:rPr>
        <w:t xml:space="preserve"> de </w:t>
      </w:r>
      <w:proofErr w:type="spellStart"/>
      <w:r>
        <w:rPr>
          <w:rFonts w:ascii="Arial" w:hAnsi="Arial"/>
          <w:sz w:val="22"/>
          <w:szCs w:val="22"/>
        </w:rPr>
        <w:t>Matambo</w:t>
      </w:r>
      <w:proofErr w:type="spellEnd"/>
      <w:r>
        <w:rPr>
          <w:rFonts w:ascii="Arial" w:hAnsi="Arial"/>
          <w:sz w:val="22"/>
          <w:szCs w:val="22"/>
        </w:rPr>
        <w:t xml:space="preserve"> em Moçambique até </w:t>
      </w:r>
      <w:proofErr w:type="spellStart"/>
      <w:r>
        <w:rPr>
          <w:rFonts w:ascii="Arial" w:hAnsi="Arial"/>
          <w:sz w:val="22"/>
          <w:szCs w:val="22"/>
        </w:rPr>
        <w:t>Phombeya</w:t>
      </w:r>
      <w:proofErr w:type="spellEnd"/>
      <w:r>
        <w:rPr>
          <w:rFonts w:ascii="Arial" w:hAnsi="Arial"/>
          <w:sz w:val="22"/>
          <w:szCs w:val="22"/>
        </w:rPr>
        <w:t xml:space="preserve">, a norte da capital comercial do Malawi, </w:t>
      </w:r>
      <w:proofErr w:type="spellStart"/>
      <w:r>
        <w:rPr>
          <w:rFonts w:ascii="Arial" w:hAnsi="Arial"/>
          <w:sz w:val="22"/>
          <w:szCs w:val="22"/>
        </w:rPr>
        <w:t>Blantyre</w:t>
      </w:r>
      <w:proofErr w:type="spellEnd"/>
      <w:r>
        <w:rPr>
          <w:rFonts w:ascii="Arial" w:hAnsi="Arial"/>
          <w:sz w:val="22"/>
          <w:szCs w:val="22"/>
        </w:rPr>
        <w:t>. Este projecto atingiu o encerramento financeiro e está na fase de construção, e espera-se que seja encomendado em 2022.</w:t>
      </w:r>
    </w:p>
    <w:p w14:paraId="109FC3DB" w14:textId="48C958D6" w:rsidR="004F5DC1" w:rsidRPr="009B5657" w:rsidRDefault="007C58A5" w:rsidP="009B5657">
      <w:pPr>
        <w:pStyle w:val="ListParagraph"/>
        <w:numPr>
          <w:ilvl w:val="0"/>
          <w:numId w:val="6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 Zâmbia, o Quénia e a Tanzânia assinaram um acordo em Dezembro de 2014 ao abrigo do qual se comprometeram a começar o seu projecto de interligação em Dezembro de 2015. O projecto está ainda em curso.</w:t>
      </w:r>
    </w:p>
    <w:p w14:paraId="7AD4CC1B" w14:textId="212EA800" w:rsidR="004B091D" w:rsidRPr="001821C7" w:rsidRDefault="00870E73" w:rsidP="009B5657">
      <w:pPr>
        <w:pStyle w:val="ListParagraph"/>
        <w:numPr>
          <w:ilvl w:val="0"/>
          <w:numId w:val="67"/>
        </w:numPr>
        <w:spacing w:line="360" w:lineRule="auto"/>
        <w:rPr>
          <w:rFonts w:ascii="Arial" w:hAnsi="Arial" w:cs="Arial"/>
          <w:sz w:val="22"/>
          <w:szCs w:val="22"/>
        </w:rPr>
      </w:pPr>
      <w:r w:rsidRPr="001821C7">
        <w:rPr>
          <w:rFonts w:ascii="Arial" w:hAnsi="Arial" w:cs="Arial"/>
        </w:rPr>
        <w:t>A interligação Zâmbia-Tanzânia divide-se em várias componentes e está na fase de construção a partir do lado zambiano e do lado tanzaniano, onde as duas linhas de transporte são configurados por forma a convergir</w:t>
      </w:r>
      <w:r w:rsidR="001821C7">
        <w:rPr>
          <w:rFonts w:ascii="Arial" w:hAnsi="Arial" w:cs="Arial"/>
        </w:rPr>
        <w:t>em</w:t>
      </w:r>
      <w:r w:rsidRPr="001821C7">
        <w:rPr>
          <w:rFonts w:ascii="Arial" w:hAnsi="Arial" w:cs="Arial"/>
        </w:rPr>
        <w:t xml:space="preserve"> perto da fronteira de </w:t>
      </w:r>
      <w:proofErr w:type="spellStart"/>
      <w:r w:rsidRPr="001821C7">
        <w:rPr>
          <w:rFonts w:ascii="Arial" w:hAnsi="Arial" w:cs="Arial"/>
        </w:rPr>
        <w:t>Nakonde</w:t>
      </w:r>
      <w:proofErr w:type="spellEnd"/>
      <w:r w:rsidRPr="001821C7">
        <w:rPr>
          <w:rFonts w:ascii="Arial" w:hAnsi="Arial" w:cs="Arial"/>
        </w:rPr>
        <w:t xml:space="preserve"> no decurso de 2022.</w:t>
      </w:r>
    </w:p>
    <w:p w14:paraId="4A12EF36" w14:textId="42663C67" w:rsidR="00860BE9" w:rsidRPr="00EF0F3B" w:rsidRDefault="00870E73" w:rsidP="00BC37DC">
      <w:pPr>
        <w:pStyle w:val="ListParagraph"/>
        <w:numPr>
          <w:ilvl w:val="0"/>
          <w:numId w:val="67"/>
        </w:numPr>
        <w:spacing w:line="360" w:lineRule="auto"/>
        <w:rPr>
          <w:rFonts w:cs="Arial"/>
          <w:szCs w:val="22"/>
        </w:rPr>
      </w:pPr>
      <w:r w:rsidRPr="001821C7">
        <w:rPr>
          <w:rFonts w:ascii="Arial" w:hAnsi="Arial" w:cs="Arial"/>
        </w:rPr>
        <w:t>O projecto Moçambique-Zimbabwe-África do Sul (</w:t>
      </w:r>
      <w:proofErr w:type="spellStart"/>
      <w:r w:rsidRPr="001821C7">
        <w:rPr>
          <w:rFonts w:ascii="Arial" w:hAnsi="Arial" w:cs="Arial"/>
        </w:rPr>
        <w:t>MoZiSa</w:t>
      </w:r>
      <w:proofErr w:type="spellEnd"/>
      <w:r w:rsidRPr="001821C7">
        <w:rPr>
          <w:rFonts w:ascii="Arial" w:hAnsi="Arial" w:cs="Arial"/>
        </w:rPr>
        <w:t xml:space="preserve">) visa complementar outras linhas de transporte regionais e facilitar as transferências de energia dentro do sistema de transporte interconectado do </w:t>
      </w:r>
      <w:r w:rsidRPr="001821C7">
        <w:rPr>
          <w:rFonts w:ascii="Arial" w:hAnsi="Arial" w:cs="Arial"/>
          <w:i/>
          <w:iCs/>
        </w:rPr>
        <w:t>SAPP</w:t>
      </w:r>
      <w:r w:rsidRPr="001821C7">
        <w:rPr>
          <w:rFonts w:ascii="Arial" w:hAnsi="Arial" w:cs="Arial"/>
        </w:rPr>
        <w:t xml:space="preserve">. Vai aumentar a </w:t>
      </w:r>
      <w:r w:rsidR="001821C7" w:rsidRPr="001821C7">
        <w:rPr>
          <w:rFonts w:ascii="Arial" w:hAnsi="Arial" w:cs="Arial"/>
        </w:rPr>
        <w:t>estabilidade</w:t>
      </w:r>
      <w:r w:rsidRPr="001821C7">
        <w:rPr>
          <w:rFonts w:ascii="Arial" w:hAnsi="Arial" w:cs="Arial"/>
        </w:rPr>
        <w:t xml:space="preserve"> no grupo energético através de mais interligação entre a forte rede no sul e a fraca rede no norte da região, que tem sido a fonte da instabilidade da rede do SAPP. Os estudos de viabilidade foram concluídos, mas há atrasos na implementação do projecto.</w:t>
      </w:r>
      <w:r w:rsidRPr="001821C7">
        <w:rPr>
          <w:rFonts w:ascii="Arial" w:hAnsi="Arial" w:cs="Arial"/>
        </w:rPr>
        <w:cr/>
      </w:r>
      <w:r>
        <w:rPr>
          <w:rFonts w:ascii="Arial" w:hAnsi="Arial"/>
          <w:sz w:val="22"/>
          <w:szCs w:val="22"/>
        </w:rPr>
        <w:lastRenderedPageBreak/>
        <w:t>O projecto de transporte de interligação Zimbabwe-Zâmbia-Botswana-Namíbia (</w:t>
      </w:r>
      <w:proofErr w:type="spellStart"/>
      <w:r>
        <w:rPr>
          <w:rFonts w:ascii="Arial" w:hAnsi="Arial"/>
          <w:sz w:val="22"/>
          <w:szCs w:val="22"/>
        </w:rPr>
        <w:t>ZiZaBoNa</w:t>
      </w:r>
      <w:proofErr w:type="spellEnd"/>
      <w:r>
        <w:rPr>
          <w:rFonts w:ascii="Arial" w:hAnsi="Arial"/>
          <w:sz w:val="22"/>
          <w:szCs w:val="22"/>
        </w:rPr>
        <w:t>) tem a capacidade de aumentar o comércio de energia entre as operadoras (</w:t>
      </w:r>
      <w:proofErr w:type="spellStart"/>
      <w:r w:rsidRPr="001821C7">
        <w:rPr>
          <w:rFonts w:ascii="Arial" w:hAnsi="Arial"/>
          <w:i/>
          <w:iCs/>
          <w:sz w:val="22"/>
          <w:szCs w:val="22"/>
        </w:rPr>
        <w:t>utilities</w:t>
      </w:r>
      <w:proofErr w:type="spellEnd"/>
      <w:r>
        <w:rPr>
          <w:rFonts w:ascii="Arial" w:hAnsi="Arial"/>
          <w:sz w:val="22"/>
          <w:szCs w:val="22"/>
        </w:rPr>
        <w:t xml:space="preserve">) participantes, bem como proporcionar uma rota alternativa e ajudar a descongestionar o corredor central de transporte existente que passa </w:t>
      </w:r>
      <w:r w:rsidR="001821C7">
        <w:rPr>
          <w:rFonts w:ascii="Arial" w:hAnsi="Arial"/>
          <w:sz w:val="22"/>
          <w:szCs w:val="22"/>
        </w:rPr>
        <w:t>pel</w:t>
      </w:r>
      <w:r>
        <w:rPr>
          <w:rFonts w:ascii="Arial" w:hAnsi="Arial"/>
          <w:sz w:val="22"/>
          <w:szCs w:val="22"/>
        </w:rPr>
        <w:t xml:space="preserve">o Zimbabwe. </w:t>
      </w:r>
      <w:r w:rsidR="001821C7">
        <w:rPr>
          <w:rFonts w:ascii="Arial" w:hAnsi="Arial"/>
          <w:sz w:val="22"/>
          <w:szCs w:val="22"/>
        </w:rPr>
        <w:t>F</w:t>
      </w:r>
      <w:r>
        <w:rPr>
          <w:rFonts w:ascii="Arial" w:hAnsi="Arial"/>
          <w:sz w:val="22"/>
          <w:szCs w:val="22"/>
        </w:rPr>
        <w:t xml:space="preserve">oi contratado </w:t>
      </w:r>
      <w:r w:rsidR="001821C7">
        <w:rPr>
          <w:rFonts w:ascii="Arial" w:hAnsi="Arial"/>
          <w:sz w:val="22"/>
          <w:szCs w:val="22"/>
        </w:rPr>
        <w:t xml:space="preserve">um consultor </w:t>
      </w:r>
      <w:r>
        <w:rPr>
          <w:rFonts w:ascii="Arial" w:hAnsi="Arial"/>
          <w:sz w:val="22"/>
          <w:szCs w:val="22"/>
        </w:rPr>
        <w:t>para se debruçar sobre a elaboração do caso de negócio e concluir a preparação de especificações técnicas e dos documentos de concurso de Engenharia, Gestão de Compras e Construção (EPC).</w:t>
      </w:r>
    </w:p>
    <w:p w14:paraId="056E7CAB" w14:textId="05A94A3A" w:rsidR="004B091D" w:rsidRPr="009B5657" w:rsidRDefault="004B091D" w:rsidP="009B5657">
      <w:pPr>
        <w:pStyle w:val="ListParagraph"/>
        <w:numPr>
          <w:ilvl w:val="0"/>
          <w:numId w:val="6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 Secretariado da SADC está a fazer a apologia do desenvolvimento do </w:t>
      </w:r>
      <w:r w:rsidR="001821C7">
        <w:rPr>
          <w:rFonts w:ascii="Arial" w:hAnsi="Arial"/>
          <w:sz w:val="22"/>
          <w:szCs w:val="22"/>
        </w:rPr>
        <w:t>corredor</w:t>
      </w:r>
      <w:r>
        <w:rPr>
          <w:rFonts w:ascii="Arial" w:hAnsi="Arial"/>
          <w:sz w:val="22"/>
          <w:szCs w:val="22"/>
        </w:rPr>
        <w:t xml:space="preserve"> oeste de transporte na linha RDC, Namíbia, Botswana e o corredor central de transporte na linha África do Sul, Botswana, Zimbabwe</w:t>
      </w:r>
      <w:r w:rsidR="001821C7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Zâmbia e Tanzânia e os corredores leste na lin</w:t>
      </w:r>
      <w:r w:rsidR="001821C7">
        <w:rPr>
          <w:rFonts w:ascii="Arial" w:hAnsi="Arial"/>
          <w:sz w:val="22"/>
          <w:szCs w:val="22"/>
        </w:rPr>
        <w:t>h</w:t>
      </w:r>
      <w:r>
        <w:rPr>
          <w:rFonts w:ascii="Arial" w:hAnsi="Arial"/>
          <w:sz w:val="22"/>
          <w:szCs w:val="22"/>
        </w:rPr>
        <w:t xml:space="preserve">a África do Sul, Moçambique, Malawi e Tanzânia do </w:t>
      </w:r>
      <w:r w:rsidRPr="001821C7">
        <w:rPr>
          <w:rFonts w:ascii="Arial" w:hAnsi="Arial"/>
          <w:i/>
          <w:iCs/>
          <w:sz w:val="22"/>
          <w:szCs w:val="22"/>
        </w:rPr>
        <w:t>sistema de transporte interconectado do SAPP</w:t>
      </w:r>
      <w:r>
        <w:rPr>
          <w:rFonts w:ascii="Arial" w:hAnsi="Arial"/>
          <w:sz w:val="22"/>
          <w:szCs w:val="22"/>
        </w:rPr>
        <w:t>, a fim de aliviar a congestão do actual corredor central.</w:t>
      </w:r>
    </w:p>
    <w:sectPr w:rsidR="004B091D" w:rsidRPr="009B5657" w:rsidSect="002E3E2C">
      <w:footerReference w:type="even" r:id="rId18"/>
      <w:footerReference w:type="default" r:id="rId19"/>
      <w:pgSz w:w="11909" w:h="16834" w:code="9"/>
      <w:pgMar w:top="1440" w:right="1440" w:bottom="1440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F1D05" w14:textId="77777777" w:rsidR="00BC530D" w:rsidRDefault="00BC530D">
      <w:r>
        <w:separator/>
      </w:r>
    </w:p>
  </w:endnote>
  <w:endnote w:type="continuationSeparator" w:id="0">
    <w:p w14:paraId="18AA876F" w14:textId="77777777" w:rsidR="00BC530D" w:rsidRDefault="00BC530D">
      <w:r>
        <w:continuationSeparator/>
      </w:r>
    </w:p>
  </w:endnote>
  <w:endnote w:type="continuationNotice" w:id="1">
    <w:p w14:paraId="4C598623" w14:textId="77777777" w:rsidR="00BC530D" w:rsidRDefault="00BC530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E5A31" w14:textId="12D2171E" w:rsidR="00BC37DC" w:rsidRDefault="00BC37DC">
    <w:pPr>
      <w:pStyle w:val="Foot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6B0C4D">
      <w:rPr>
        <w:noProof/>
      </w:rPr>
      <w:t>3</w:t>
    </w:r>
    <w:r>
      <w:fldChar w:fldCharType="end"/>
    </w:r>
  </w:p>
  <w:p w14:paraId="6D07085A" w14:textId="77777777" w:rsidR="00BC37DC" w:rsidRDefault="00BC37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00B11" w14:textId="1B891DCC" w:rsidR="00BC37DC" w:rsidRPr="00987602" w:rsidRDefault="00BC37DC" w:rsidP="00E0501A">
    <w:pPr>
      <w:pStyle w:val="Footer"/>
      <w:pBdr>
        <w:top w:val="single" w:sz="4" w:space="6" w:color="auto"/>
      </w:pBdr>
      <w:rPr>
        <w:rFonts w:ascii="Arial" w:hAnsi="Arial"/>
        <w:iCs/>
      </w:rPr>
    </w:pPr>
    <w:r>
      <w:t xml:space="preserve">Código da rede regional da SADC – Preâmbulo (versão 0.9) (texto-projecto) Página </w:t>
    </w:r>
    <w:r w:rsidRPr="00987602">
      <w:rPr>
        <w:rFonts w:ascii="Arial" w:hAnsi="Arial"/>
        <w:iCs/>
      </w:rPr>
      <w:fldChar w:fldCharType="begin"/>
    </w:r>
    <w:r w:rsidRPr="00987602">
      <w:rPr>
        <w:rFonts w:ascii="Arial" w:hAnsi="Arial"/>
        <w:iCs/>
      </w:rPr>
      <w:instrText xml:space="preserve"> PAGE </w:instrText>
    </w:r>
    <w:r w:rsidRPr="00987602">
      <w:rPr>
        <w:rFonts w:ascii="Arial" w:hAnsi="Arial"/>
        <w:iCs/>
      </w:rPr>
      <w:fldChar w:fldCharType="separate"/>
    </w:r>
    <w:r w:rsidR="00F36A9A">
      <w:rPr>
        <w:rFonts w:ascii="Arial" w:hAnsi="Arial"/>
        <w:iCs/>
      </w:rPr>
      <w:t>2</w:t>
    </w:r>
    <w:r w:rsidRPr="00987602">
      <w:rPr>
        <w:rFonts w:ascii="Arial" w:hAnsi="Arial"/>
        <w:iCs/>
      </w:rPr>
      <w:fldChar w:fldCharType="end"/>
    </w:r>
    <w:r>
      <w:t xml:space="preserve"> de </w:t>
    </w:r>
    <w:r w:rsidRPr="00987602">
      <w:rPr>
        <w:rFonts w:ascii="Arial" w:hAnsi="Arial"/>
        <w:iCs/>
      </w:rPr>
      <w:fldChar w:fldCharType="begin"/>
    </w:r>
    <w:r w:rsidRPr="00987602">
      <w:rPr>
        <w:rFonts w:ascii="Arial" w:hAnsi="Arial"/>
        <w:iCs/>
      </w:rPr>
      <w:instrText xml:space="preserve"> NUMPAGES </w:instrText>
    </w:r>
    <w:r w:rsidRPr="00987602">
      <w:rPr>
        <w:rFonts w:ascii="Arial" w:hAnsi="Arial"/>
        <w:iCs/>
      </w:rPr>
      <w:fldChar w:fldCharType="separate"/>
    </w:r>
    <w:r w:rsidR="00F36A9A">
      <w:rPr>
        <w:rFonts w:ascii="Arial" w:hAnsi="Arial"/>
        <w:iCs/>
      </w:rPr>
      <w:t>14</w:t>
    </w:r>
    <w:r w:rsidRPr="00987602">
      <w:rPr>
        <w:rFonts w:ascii="Arial" w:hAnsi="Arial"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713BE" w14:textId="77777777" w:rsidR="00BC530D" w:rsidRDefault="00BC530D">
      <w:r>
        <w:separator/>
      </w:r>
    </w:p>
  </w:footnote>
  <w:footnote w:type="continuationSeparator" w:id="0">
    <w:p w14:paraId="566F0FCE" w14:textId="77777777" w:rsidR="00BC530D" w:rsidRDefault="00BC530D">
      <w:r>
        <w:continuationSeparator/>
      </w:r>
    </w:p>
  </w:footnote>
  <w:footnote w:type="continuationNotice" w:id="1">
    <w:p w14:paraId="02AFC842" w14:textId="77777777" w:rsidR="00BC530D" w:rsidRDefault="00BC530D">
      <w:pPr>
        <w:spacing w:before="0"/>
      </w:pPr>
    </w:p>
  </w:footnote>
  <w:footnote w:id="2">
    <w:p w14:paraId="6466AD62" w14:textId="20CD9565" w:rsidR="00BC37DC" w:rsidRPr="00036C94" w:rsidRDefault="00BC37D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https://www.sapp.co.zw/sites/default/files/Sapp%20Annual%20Report%202020.pdf</w:t>
        </w:r>
      </w:hyperlink>
      <w:r>
        <w:t xml:space="preserve"> </w:t>
      </w:r>
    </w:p>
  </w:footnote>
  <w:footnote w:id="3">
    <w:p w14:paraId="4384D687" w14:textId="2D8CB8DF" w:rsidR="00BC37DC" w:rsidRPr="00A561B7" w:rsidRDefault="00BC37DC">
      <w:pPr>
        <w:pStyle w:val="FootnoteText"/>
      </w:pPr>
      <w:r>
        <w:rPr>
          <w:rStyle w:val="FootnoteReference"/>
        </w:rPr>
        <w:footnoteRef/>
      </w:r>
      <w:r>
        <w:t xml:space="preserve"> Fonte: Desenvolvimento de um quadro e roteiro para a criação de uma Autoridade Reguladora Regional de Energia para a </w:t>
      </w:r>
      <w:r>
        <w:rPr>
          <w:i/>
          <w:iCs/>
        </w:rPr>
        <w:t>SADC</w:t>
      </w:r>
      <w:r>
        <w:t>, Relatório Final de Novembro de 2019 pela Economic Consulting Associates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012F"/>
    <w:multiLevelType w:val="hybridMultilevel"/>
    <w:tmpl w:val="01BE18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25CF7"/>
    <w:multiLevelType w:val="multilevel"/>
    <w:tmpl w:val="7BE47C14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P%1.%2"/>
      <w:lvlJc w:val="left"/>
      <w:pPr>
        <w:ind w:left="576" w:hanging="576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P%1.%2.%3.%4"/>
      <w:lvlJc w:val="left"/>
      <w:pPr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BA9129F"/>
    <w:multiLevelType w:val="hybridMultilevel"/>
    <w:tmpl w:val="01BE18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D4C1E"/>
    <w:multiLevelType w:val="hybridMultilevel"/>
    <w:tmpl w:val="BC382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C5CAF"/>
    <w:multiLevelType w:val="multilevel"/>
    <w:tmpl w:val="04D84708"/>
    <w:styleLink w:val="Bullet2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/>
        <w:sz w:val="24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5336A8A"/>
    <w:multiLevelType w:val="multilevel"/>
    <w:tmpl w:val="E05E0EA4"/>
    <w:styleLink w:val="Bullet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9E36273"/>
    <w:multiLevelType w:val="hybridMultilevel"/>
    <w:tmpl w:val="5FD251AC"/>
    <w:lvl w:ilvl="0" w:tplc="058ADC8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2"/>
        <w:szCs w:val="22"/>
      </w:r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AA1DD3"/>
    <w:multiLevelType w:val="multilevel"/>
    <w:tmpl w:val="A154B056"/>
    <w:lvl w:ilvl="0">
      <w:start w:val="1"/>
      <w:numFmt w:val="decimal"/>
      <w:pStyle w:val="Heading1"/>
      <w:lvlText w:val="P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P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P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P%1.%2.%3.%4"/>
      <w:lvlJc w:val="left"/>
      <w:pPr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24DE23CB"/>
    <w:multiLevelType w:val="hybridMultilevel"/>
    <w:tmpl w:val="01BE18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F438C"/>
    <w:multiLevelType w:val="hybridMultilevel"/>
    <w:tmpl w:val="3542A0CE"/>
    <w:lvl w:ilvl="0" w:tplc="70A27A90">
      <w:start w:val="1"/>
      <w:numFmt w:val="lowerLetter"/>
      <w:pStyle w:val="Normalnuma"/>
      <w:lvlText w:val="(%1)"/>
      <w:lvlJc w:val="left"/>
      <w:pPr>
        <w:tabs>
          <w:tab w:val="num" w:pos="720"/>
        </w:tabs>
        <w:ind w:left="1146" w:hanging="426"/>
      </w:pPr>
      <w:rPr>
        <w:rFonts w:ascii="Arial" w:hAnsi="Arial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10" w15:restartNumberingAfterBreak="0">
    <w:nsid w:val="28033511"/>
    <w:multiLevelType w:val="multilevel"/>
    <w:tmpl w:val="2B48C4D2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P%1.%2"/>
      <w:lvlJc w:val="left"/>
      <w:pPr>
        <w:ind w:left="576" w:hanging="576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lvlText w:val="P%1.%2.%3.%4"/>
      <w:lvlJc w:val="left"/>
      <w:pPr>
        <w:ind w:left="864" w:hanging="864"/>
      </w:pPr>
      <w:rPr>
        <w:rFonts w:hint="default"/>
        <w:b w:val="0"/>
        <w:bCs/>
        <w:i w:val="0"/>
        <w:iCs/>
        <w:strike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280F751E"/>
    <w:multiLevelType w:val="hybridMultilevel"/>
    <w:tmpl w:val="8F1462E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C001AF"/>
    <w:multiLevelType w:val="hybridMultilevel"/>
    <w:tmpl w:val="01BE18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A0B0A"/>
    <w:multiLevelType w:val="hybridMultilevel"/>
    <w:tmpl w:val="3EDCD246"/>
    <w:lvl w:ilvl="0" w:tplc="1C090017">
      <w:start w:val="1"/>
      <w:numFmt w:val="lowerLetter"/>
      <w:lvlText w:val="%1)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6B1228"/>
    <w:multiLevelType w:val="hybridMultilevel"/>
    <w:tmpl w:val="01BE18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84A01"/>
    <w:multiLevelType w:val="hybridMultilevel"/>
    <w:tmpl w:val="9B580D2A"/>
    <w:lvl w:ilvl="0" w:tplc="058ADC8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2"/>
        <w:szCs w:val="22"/>
      </w:r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7E720A"/>
    <w:multiLevelType w:val="hybridMultilevel"/>
    <w:tmpl w:val="4E9415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6A2856"/>
    <w:multiLevelType w:val="hybridMultilevel"/>
    <w:tmpl w:val="01BE18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23E0E"/>
    <w:multiLevelType w:val="hybridMultilevel"/>
    <w:tmpl w:val="D0A845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31150"/>
    <w:multiLevelType w:val="hybridMultilevel"/>
    <w:tmpl w:val="01BE18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D35257"/>
    <w:multiLevelType w:val="hybridMultilevel"/>
    <w:tmpl w:val="01BE18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00112"/>
    <w:multiLevelType w:val="hybridMultilevel"/>
    <w:tmpl w:val="5A2A7B22"/>
    <w:lvl w:ilvl="0" w:tplc="679C289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CF1106"/>
    <w:multiLevelType w:val="hybridMultilevel"/>
    <w:tmpl w:val="5A2A7B22"/>
    <w:lvl w:ilvl="0" w:tplc="679C289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BA3A9E"/>
    <w:multiLevelType w:val="hybridMultilevel"/>
    <w:tmpl w:val="B2C23CFA"/>
    <w:lvl w:ilvl="0" w:tplc="058ADC8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2"/>
        <w:szCs w:val="22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402C29"/>
    <w:multiLevelType w:val="hybridMultilevel"/>
    <w:tmpl w:val="A230ABB8"/>
    <w:lvl w:ilvl="0" w:tplc="1C8A60F6">
      <w:start w:val="1"/>
      <w:numFmt w:val="decimal"/>
      <w:lvlText w:val="(%1)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6A6E9C">
      <w:start w:val="1"/>
      <w:numFmt w:val="lowerLetter"/>
      <w:pStyle w:val="StyleHeading2NotItalic"/>
      <w:lvlText w:val="(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8E9BF6">
      <w:start w:val="1"/>
      <w:numFmt w:val="lowerRoman"/>
      <w:lvlText w:val="(%3)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CCBC8E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E0703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245446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AC29F8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18B12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D0C0C6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69028CB"/>
    <w:multiLevelType w:val="hybridMultilevel"/>
    <w:tmpl w:val="D944BB00"/>
    <w:lvl w:ilvl="0" w:tplc="058ADC80">
      <w:start w:val="1"/>
      <w:numFmt w:val="decimal"/>
      <w:pStyle w:val="Numbered"/>
      <w:lvlText w:val="(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315178"/>
    <w:multiLevelType w:val="hybridMultilevel"/>
    <w:tmpl w:val="53EAC9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B523073"/>
    <w:multiLevelType w:val="multilevel"/>
    <w:tmpl w:val="00120FD2"/>
    <w:lvl w:ilvl="0">
      <w:start w:val="1"/>
      <w:numFmt w:val="decimal"/>
      <w:pStyle w:val="AppendixHeadingLevel1"/>
      <w:lvlText w:val="A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pendixHeadingLevel2"/>
      <w:lvlText w:val="A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ppendixHeadingLevel3"/>
      <w:lvlText w:val="A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ppendixHeadingLevel4"/>
      <w:lvlText w:val="A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AppendixHeadingLevel5"/>
      <w:lvlText w:val="A%1.%2.%3.%4.%5"/>
      <w:lvlJc w:val="left"/>
      <w:pPr>
        <w:ind w:left="992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DB66B4E"/>
    <w:multiLevelType w:val="hybridMultilevel"/>
    <w:tmpl w:val="D8A028B6"/>
    <w:lvl w:ilvl="0" w:tplc="76BEE87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16640A"/>
    <w:multiLevelType w:val="hybridMultilevel"/>
    <w:tmpl w:val="60D8D156"/>
    <w:lvl w:ilvl="0" w:tplc="08090017">
      <w:start w:val="1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0" w15:restartNumberingAfterBreak="0">
    <w:nsid w:val="66CB5113"/>
    <w:multiLevelType w:val="multilevel"/>
    <w:tmpl w:val="1C765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CC17B19"/>
    <w:multiLevelType w:val="hybridMultilevel"/>
    <w:tmpl w:val="93BAE3BE"/>
    <w:lvl w:ilvl="0" w:tplc="058ADC8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2"/>
        <w:szCs w:val="22"/>
      </w:r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2E5978"/>
    <w:multiLevelType w:val="hybridMultilevel"/>
    <w:tmpl w:val="2BDCF7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6B42D5"/>
    <w:multiLevelType w:val="hybridMultilevel"/>
    <w:tmpl w:val="01BE18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8B412F"/>
    <w:multiLevelType w:val="multilevel"/>
    <w:tmpl w:val="F9025742"/>
    <w:styleLink w:val="Bulletindent1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426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31470E"/>
    <w:multiLevelType w:val="hybridMultilevel"/>
    <w:tmpl w:val="5A2A7B22"/>
    <w:lvl w:ilvl="0" w:tplc="679C289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E2502C"/>
    <w:multiLevelType w:val="multilevel"/>
    <w:tmpl w:val="BAB8A858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P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P%1.%2.%3"/>
      <w:lvlJc w:val="left"/>
      <w:pPr>
        <w:ind w:left="720" w:hanging="720"/>
      </w:pPr>
      <w:rPr>
        <w:rFonts w:hint="default"/>
        <w:b/>
        <w:bCs/>
        <w:strike w:val="0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b w:val="0"/>
        <w:bCs/>
        <w:i w:val="0"/>
        <w:iCs/>
        <w:strike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7" w15:restartNumberingAfterBreak="0">
    <w:nsid w:val="794D4845"/>
    <w:multiLevelType w:val="hybridMultilevel"/>
    <w:tmpl w:val="4F4EE6C0"/>
    <w:lvl w:ilvl="0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4"/>
  </w:num>
  <w:num w:numId="4">
    <w:abstractNumId w:val="9"/>
  </w:num>
  <w:num w:numId="5">
    <w:abstractNumId w:val="24"/>
  </w:num>
  <w:num w:numId="6">
    <w:abstractNumId w:val="25"/>
  </w:num>
  <w:num w:numId="7">
    <w:abstractNumId w:val="23"/>
  </w:num>
  <w:num w:numId="8">
    <w:abstractNumId w:val="27"/>
  </w:num>
  <w:num w:numId="9">
    <w:abstractNumId w:val="30"/>
  </w:num>
  <w:num w:numId="10">
    <w:abstractNumId w:val="37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28"/>
  </w:num>
  <w:num w:numId="17">
    <w:abstractNumId w:val="25"/>
  </w:num>
  <w:num w:numId="18">
    <w:abstractNumId w:val="25"/>
  </w:num>
  <w:num w:numId="19">
    <w:abstractNumId w:val="25"/>
  </w:num>
  <w:num w:numId="20">
    <w:abstractNumId w:val="25"/>
  </w:num>
  <w:num w:numId="21">
    <w:abstractNumId w:val="25"/>
  </w:num>
  <w:num w:numId="22">
    <w:abstractNumId w:val="13"/>
  </w:num>
  <w:num w:numId="23">
    <w:abstractNumId w:val="25"/>
  </w:num>
  <w:num w:numId="24">
    <w:abstractNumId w:val="9"/>
    <w:lvlOverride w:ilvl="0">
      <w:startOverride w:val="1"/>
    </w:lvlOverride>
  </w:num>
  <w:num w:numId="25">
    <w:abstractNumId w:val="25"/>
  </w:num>
  <w:num w:numId="26">
    <w:abstractNumId w:val="25"/>
  </w:num>
  <w:num w:numId="27">
    <w:abstractNumId w:val="25"/>
  </w:num>
  <w:num w:numId="28">
    <w:abstractNumId w:val="25"/>
  </w:num>
  <w:num w:numId="29">
    <w:abstractNumId w:val="26"/>
  </w:num>
  <w:num w:numId="30">
    <w:abstractNumId w:val="25"/>
  </w:num>
  <w:num w:numId="31">
    <w:abstractNumId w:val="25"/>
  </w:num>
  <w:num w:numId="32">
    <w:abstractNumId w:val="25"/>
  </w:num>
  <w:num w:numId="33">
    <w:abstractNumId w:val="25"/>
  </w:num>
  <w:num w:numId="34">
    <w:abstractNumId w:val="25"/>
  </w:num>
  <w:num w:numId="35">
    <w:abstractNumId w:val="25"/>
  </w:num>
  <w:num w:numId="36">
    <w:abstractNumId w:val="7"/>
  </w:num>
  <w:num w:numId="37">
    <w:abstractNumId w:val="31"/>
  </w:num>
  <w:num w:numId="38">
    <w:abstractNumId w:val="6"/>
  </w:num>
  <w:num w:numId="39">
    <w:abstractNumId w:val="15"/>
  </w:num>
  <w:num w:numId="40">
    <w:abstractNumId w:val="25"/>
  </w:num>
  <w:num w:numId="41">
    <w:abstractNumId w:val="10"/>
  </w:num>
  <w:num w:numId="42">
    <w:abstractNumId w:val="7"/>
  </w:num>
  <w:num w:numId="43">
    <w:abstractNumId w:val="25"/>
  </w:num>
  <w:num w:numId="44">
    <w:abstractNumId w:val="36"/>
  </w:num>
  <w:num w:numId="45">
    <w:abstractNumId w:val="18"/>
  </w:num>
  <w:num w:numId="46">
    <w:abstractNumId w:val="12"/>
  </w:num>
  <w:num w:numId="47">
    <w:abstractNumId w:val="14"/>
  </w:num>
  <w:num w:numId="48">
    <w:abstractNumId w:val="7"/>
  </w:num>
  <w:num w:numId="49">
    <w:abstractNumId w:val="2"/>
  </w:num>
  <w:num w:numId="50">
    <w:abstractNumId w:val="7"/>
  </w:num>
  <w:num w:numId="51">
    <w:abstractNumId w:val="7"/>
  </w:num>
  <w:num w:numId="52">
    <w:abstractNumId w:val="33"/>
  </w:num>
  <w:num w:numId="53">
    <w:abstractNumId w:val="7"/>
  </w:num>
  <w:num w:numId="54">
    <w:abstractNumId w:val="7"/>
  </w:num>
  <w:num w:numId="55">
    <w:abstractNumId w:val="8"/>
  </w:num>
  <w:num w:numId="56">
    <w:abstractNumId w:val="7"/>
  </w:num>
  <w:num w:numId="57">
    <w:abstractNumId w:val="7"/>
  </w:num>
  <w:num w:numId="58">
    <w:abstractNumId w:val="7"/>
  </w:num>
  <w:num w:numId="59">
    <w:abstractNumId w:val="7"/>
  </w:num>
  <w:num w:numId="60">
    <w:abstractNumId w:val="0"/>
  </w:num>
  <w:num w:numId="61">
    <w:abstractNumId w:val="17"/>
  </w:num>
  <w:num w:numId="62">
    <w:abstractNumId w:val="20"/>
  </w:num>
  <w:num w:numId="63">
    <w:abstractNumId w:val="19"/>
  </w:num>
  <w:num w:numId="64">
    <w:abstractNumId w:val="35"/>
  </w:num>
  <w:num w:numId="65">
    <w:abstractNumId w:val="29"/>
  </w:num>
  <w:num w:numId="66">
    <w:abstractNumId w:val="16"/>
  </w:num>
  <w:num w:numId="67">
    <w:abstractNumId w:val="32"/>
  </w:num>
  <w:num w:numId="68">
    <w:abstractNumId w:val="7"/>
  </w:num>
  <w:num w:numId="69">
    <w:abstractNumId w:val="7"/>
  </w:num>
  <w:num w:numId="70">
    <w:abstractNumId w:val="22"/>
  </w:num>
  <w:num w:numId="71">
    <w:abstractNumId w:val="7"/>
  </w:num>
  <w:num w:numId="72">
    <w:abstractNumId w:val="21"/>
  </w:num>
  <w:num w:numId="73">
    <w:abstractNumId w:val="7"/>
  </w:num>
  <w:num w:numId="74">
    <w:abstractNumId w:val="1"/>
  </w:num>
  <w:num w:numId="75">
    <w:abstractNumId w:val="25"/>
  </w:num>
  <w:num w:numId="76">
    <w:abstractNumId w:val="11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238"/>
    <w:rsid w:val="00001EE7"/>
    <w:rsid w:val="00004697"/>
    <w:rsid w:val="00006439"/>
    <w:rsid w:val="00007EF3"/>
    <w:rsid w:val="0001015A"/>
    <w:rsid w:val="000112F2"/>
    <w:rsid w:val="00014EDE"/>
    <w:rsid w:val="00015C22"/>
    <w:rsid w:val="00016D55"/>
    <w:rsid w:val="00021C01"/>
    <w:rsid w:val="00024AFF"/>
    <w:rsid w:val="00026E9B"/>
    <w:rsid w:val="00031768"/>
    <w:rsid w:val="000347CD"/>
    <w:rsid w:val="00036C94"/>
    <w:rsid w:val="000430C6"/>
    <w:rsid w:val="00045523"/>
    <w:rsid w:val="00052E3C"/>
    <w:rsid w:val="00064DE6"/>
    <w:rsid w:val="000659B8"/>
    <w:rsid w:val="00065D4E"/>
    <w:rsid w:val="00067985"/>
    <w:rsid w:val="000718AD"/>
    <w:rsid w:val="00074092"/>
    <w:rsid w:val="00076C9A"/>
    <w:rsid w:val="00080681"/>
    <w:rsid w:val="00081783"/>
    <w:rsid w:val="0008388B"/>
    <w:rsid w:val="0008575F"/>
    <w:rsid w:val="00086F3A"/>
    <w:rsid w:val="00093F17"/>
    <w:rsid w:val="00094269"/>
    <w:rsid w:val="000A19D9"/>
    <w:rsid w:val="000A6083"/>
    <w:rsid w:val="000A78E1"/>
    <w:rsid w:val="000B02CF"/>
    <w:rsid w:val="000B04F8"/>
    <w:rsid w:val="000B24D0"/>
    <w:rsid w:val="000B36E6"/>
    <w:rsid w:val="000B54B2"/>
    <w:rsid w:val="000B6C68"/>
    <w:rsid w:val="000B7225"/>
    <w:rsid w:val="000C0D53"/>
    <w:rsid w:val="000C4FEC"/>
    <w:rsid w:val="000C5B74"/>
    <w:rsid w:val="000D0CFB"/>
    <w:rsid w:val="000D5218"/>
    <w:rsid w:val="000E10D5"/>
    <w:rsid w:val="000E1605"/>
    <w:rsid w:val="000E321D"/>
    <w:rsid w:val="000E446F"/>
    <w:rsid w:val="000F08A8"/>
    <w:rsid w:val="001010BA"/>
    <w:rsid w:val="00106BBD"/>
    <w:rsid w:val="0010703C"/>
    <w:rsid w:val="00111AAD"/>
    <w:rsid w:val="00111DA9"/>
    <w:rsid w:val="00114406"/>
    <w:rsid w:val="00116808"/>
    <w:rsid w:val="00117ABE"/>
    <w:rsid w:val="00122FE6"/>
    <w:rsid w:val="00125079"/>
    <w:rsid w:val="0013244D"/>
    <w:rsid w:val="001329FE"/>
    <w:rsid w:val="001338A3"/>
    <w:rsid w:val="00134DA1"/>
    <w:rsid w:val="00135D0F"/>
    <w:rsid w:val="001540A6"/>
    <w:rsid w:val="0015445A"/>
    <w:rsid w:val="00155FDC"/>
    <w:rsid w:val="001657D7"/>
    <w:rsid w:val="001701C2"/>
    <w:rsid w:val="00174BF9"/>
    <w:rsid w:val="00180ECC"/>
    <w:rsid w:val="00181546"/>
    <w:rsid w:val="00181D50"/>
    <w:rsid w:val="001821C7"/>
    <w:rsid w:val="00183541"/>
    <w:rsid w:val="001919BA"/>
    <w:rsid w:val="0019376F"/>
    <w:rsid w:val="00195AA4"/>
    <w:rsid w:val="00196D9C"/>
    <w:rsid w:val="0019753F"/>
    <w:rsid w:val="001A7A69"/>
    <w:rsid w:val="001C2152"/>
    <w:rsid w:val="001C5309"/>
    <w:rsid w:val="001E147E"/>
    <w:rsid w:val="001F5A5E"/>
    <w:rsid w:val="001F6285"/>
    <w:rsid w:val="001F6E4B"/>
    <w:rsid w:val="002007EE"/>
    <w:rsid w:val="00207A21"/>
    <w:rsid w:val="00211E90"/>
    <w:rsid w:val="002168C4"/>
    <w:rsid w:val="0022066A"/>
    <w:rsid w:val="00224F5D"/>
    <w:rsid w:val="00226ECA"/>
    <w:rsid w:val="00230265"/>
    <w:rsid w:val="00230656"/>
    <w:rsid w:val="002308E2"/>
    <w:rsid w:val="00234C80"/>
    <w:rsid w:val="002351D0"/>
    <w:rsid w:val="002403BE"/>
    <w:rsid w:val="00242F04"/>
    <w:rsid w:val="0024371F"/>
    <w:rsid w:val="00251694"/>
    <w:rsid w:val="0025224F"/>
    <w:rsid w:val="00254D25"/>
    <w:rsid w:val="00257ACC"/>
    <w:rsid w:val="0026035B"/>
    <w:rsid w:val="002612DA"/>
    <w:rsid w:val="00261B53"/>
    <w:rsid w:val="002647BB"/>
    <w:rsid w:val="002725F0"/>
    <w:rsid w:val="0027280E"/>
    <w:rsid w:val="00275EEB"/>
    <w:rsid w:val="00276801"/>
    <w:rsid w:val="002902A2"/>
    <w:rsid w:val="00296675"/>
    <w:rsid w:val="002B07AB"/>
    <w:rsid w:val="002B41E1"/>
    <w:rsid w:val="002C09C1"/>
    <w:rsid w:val="002C1606"/>
    <w:rsid w:val="002C6391"/>
    <w:rsid w:val="002C6E48"/>
    <w:rsid w:val="002D2D6A"/>
    <w:rsid w:val="002D41F0"/>
    <w:rsid w:val="002D7DA6"/>
    <w:rsid w:val="002E183D"/>
    <w:rsid w:val="002E2469"/>
    <w:rsid w:val="002E25CB"/>
    <w:rsid w:val="002E3B14"/>
    <w:rsid w:val="002E3E2C"/>
    <w:rsid w:val="002E456A"/>
    <w:rsid w:val="002F015F"/>
    <w:rsid w:val="002F0898"/>
    <w:rsid w:val="002F19D6"/>
    <w:rsid w:val="002F337D"/>
    <w:rsid w:val="002F509D"/>
    <w:rsid w:val="002F7235"/>
    <w:rsid w:val="00306DAC"/>
    <w:rsid w:val="0031140D"/>
    <w:rsid w:val="00312DE6"/>
    <w:rsid w:val="00317AEA"/>
    <w:rsid w:val="00321E8D"/>
    <w:rsid w:val="0032549C"/>
    <w:rsid w:val="003270D4"/>
    <w:rsid w:val="0033041A"/>
    <w:rsid w:val="0033182F"/>
    <w:rsid w:val="00334FE6"/>
    <w:rsid w:val="00337A75"/>
    <w:rsid w:val="00342E5E"/>
    <w:rsid w:val="0034468B"/>
    <w:rsid w:val="00350EFC"/>
    <w:rsid w:val="00356E29"/>
    <w:rsid w:val="00356F62"/>
    <w:rsid w:val="00357BBE"/>
    <w:rsid w:val="00357EDB"/>
    <w:rsid w:val="0036310F"/>
    <w:rsid w:val="00364A01"/>
    <w:rsid w:val="00372BC8"/>
    <w:rsid w:val="00375254"/>
    <w:rsid w:val="0037720E"/>
    <w:rsid w:val="00380466"/>
    <w:rsid w:val="00381F68"/>
    <w:rsid w:val="00382226"/>
    <w:rsid w:val="00384719"/>
    <w:rsid w:val="00385E05"/>
    <w:rsid w:val="00387095"/>
    <w:rsid w:val="003914D3"/>
    <w:rsid w:val="0039212D"/>
    <w:rsid w:val="003955F0"/>
    <w:rsid w:val="003A1108"/>
    <w:rsid w:val="003A1A8D"/>
    <w:rsid w:val="003A50A8"/>
    <w:rsid w:val="003B0BD7"/>
    <w:rsid w:val="003B3124"/>
    <w:rsid w:val="003B324A"/>
    <w:rsid w:val="003B4D3B"/>
    <w:rsid w:val="003B5291"/>
    <w:rsid w:val="003C2A66"/>
    <w:rsid w:val="003C314D"/>
    <w:rsid w:val="003C62B4"/>
    <w:rsid w:val="003D17DE"/>
    <w:rsid w:val="003D2B82"/>
    <w:rsid w:val="003E13AB"/>
    <w:rsid w:val="003E2B88"/>
    <w:rsid w:val="003E2CB4"/>
    <w:rsid w:val="003E52F6"/>
    <w:rsid w:val="003F12E4"/>
    <w:rsid w:val="003F2CCE"/>
    <w:rsid w:val="003F5FE2"/>
    <w:rsid w:val="003F67A1"/>
    <w:rsid w:val="003F6DAD"/>
    <w:rsid w:val="00401FB7"/>
    <w:rsid w:val="004154BC"/>
    <w:rsid w:val="004311D7"/>
    <w:rsid w:val="00431B8B"/>
    <w:rsid w:val="004321C8"/>
    <w:rsid w:val="00435C77"/>
    <w:rsid w:val="00437D23"/>
    <w:rsid w:val="004429D0"/>
    <w:rsid w:val="00442A10"/>
    <w:rsid w:val="004443F7"/>
    <w:rsid w:val="00445717"/>
    <w:rsid w:val="0045165F"/>
    <w:rsid w:val="0045518F"/>
    <w:rsid w:val="00461617"/>
    <w:rsid w:val="004638C2"/>
    <w:rsid w:val="00470BDD"/>
    <w:rsid w:val="00473474"/>
    <w:rsid w:val="00477AD8"/>
    <w:rsid w:val="00483736"/>
    <w:rsid w:val="0048411B"/>
    <w:rsid w:val="00484481"/>
    <w:rsid w:val="00487238"/>
    <w:rsid w:val="00487350"/>
    <w:rsid w:val="00491029"/>
    <w:rsid w:val="004971A7"/>
    <w:rsid w:val="004A0E28"/>
    <w:rsid w:val="004A3629"/>
    <w:rsid w:val="004A4C52"/>
    <w:rsid w:val="004A51FC"/>
    <w:rsid w:val="004B0638"/>
    <w:rsid w:val="004B091D"/>
    <w:rsid w:val="004B3625"/>
    <w:rsid w:val="004B6980"/>
    <w:rsid w:val="004C45F8"/>
    <w:rsid w:val="004C4AA7"/>
    <w:rsid w:val="004D1E59"/>
    <w:rsid w:val="004D5EB0"/>
    <w:rsid w:val="004D74BB"/>
    <w:rsid w:val="004D7D9A"/>
    <w:rsid w:val="004E1462"/>
    <w:rsid w:val="004E17E7"/>
    <w:rsid w:val="004E640F"/>
    <w:rsid w:val="004E6D06"/>
    <w:rsid w:val="004F2E8F"/>
    <w:rsid w:val="004F46DE"/>
    <w:rsid w:val="004F53CC"/>
    <w:rsid w:val="004F5DC1"/>
    <w:rsid w:val="004F7DBA"/>
    <w:rsid w:val="00501CF3"/>
    <w:rsid w:val="00503C83"/>
    <w:rsid w:val="00510CD2"/>
    <w:rsid w:val="00516FED"/>
    <w:rsid w:val="005204D2"/>
    <w:rsid w:val="00521CAB"/>
    <w:rsid w:val="00522668"/>
    <w:rsid w:val="0052330C"/>
    <w:rsid w:val="00523B56"/>
    <w:rsid w:val="00526253"/>
    <w:rsid w:val="0053451D"/>
    <w:rsid w:val="00534B73"/>
    <w:rsid w:val="00536E9F"/>
    <w:rsid w:val="0054016F"/>
    <w:rsid w:val="00544781"/>
    <w:rsid w:val="00547908"/>
    <w:rsid w:val="00550B56"/>
    <w:rsid w:val="0055205E"/>
    <w:rsid w:val="00560A91"/>
    <w:rsid w:val="00563D1A"/>
    <w:rsid w:val="00564F63"/>
    <w:rsid w:val="00570C1B"/>
    <w:rsid w:val="005736F6"/>
    <w:rsid w:val="00575026"/>
    <w:rsid w:val="00580370"/>
    <w:rsid w:val="005902C0"/>
    <w:rsid w:val="005A0318"/>
    <w:rsid w:val="005A3731"/>
    <w:rsid w:val="005A4C75"/>
    <w:rsid w:val="005A5DDD"/>
    <w:rsid w:val="005A6ABA"/>
    <w:rsid w:val="005B540C"/>
    <w:rsid w:val="005B5F75"/>
    <w:rsid w:val="005C155F"/>
    <w:rsid w:val="005C2CFF"/>
    <w:rsid w:val="005C44DC"/>
    <w:rsid w:val="005C4602"/>
    <w:rsid w:val="005C5ADE"/>
    <w:rsid w:val="005D08CC"/>
    <w:rsid w:val="005D4ACF"/>
    <w:rsid w:val="005D7DCF"/>
    <w:rsid w:val="005E24A4"/>
    <w:rsid w:val="005E5F94"/>
    <w:rsid w:val="005F17B6"/>
    <w:rsid w:val="005F4669"/>
    <w:rsid w:val="00600A1D"/>
    <w:rsid w:val="00611B07"/>
    <w:rsid w:val="00612050"/>
    <w:rsid w:val="006208E5"/>
    <w:rsid w:val="00622210"/>
    <w:rsid w:val="006248FF"/>
    <w:rsid w:val="00631A12"/>
    <w:rsid w:val="0063337D"/>
    <w:rsid w:val="00633E18"/>
    <w:rsid w:val="00640647"/>
    <w:rsid w:val="00640902"/>
    <w:rsid w:val="00644919"/>
    <w:rsid w:val="00644E01"/>
    <w:rsid w:val="00646DC9"/>
    <w:rsid w:val="006574E9"/>
    <w:rsid w:val="00662C1D"/>
    <w:rsid w:val="00666549"/>
    <w:rsid w:val="006678A8"/>
    <w:rsid w:val="00682494"/>
    <w:rsid w:val="00683EAD"/>
    <w:rsid w:val="00684967"/>
    <w:rsid w:val="00686C91"/>
    <w:rsid w:val="00690B67"/>
    <w:rsid w:val="006937FB"/>
    <w:rsid w:val="0069741A"/>
    <w:rsid w:val="006A090D"/>
    <w:rsid w:val="006A1F95"/>
    <w:rsid w:val="006A44B1"/>
    <w:rsid w:val="006A6AE8"/>
    <w:rsid w:val="006B0C4D"/>
    <w:rsid w:val="006B5165"/>
    <w:rsid w:val="006C2A6D"/>
    <w:rsid w:val="006C5059"/>
    <w:rsid w:val="006C7477"/>
    <w:rsid w:val="006D52D1"/>
    <w:rsid w:val="006D569B"/>
    <w:rsid w:val="006D5E1E"/>
    <w:rsid w:val="006D7A64"/>
    <w:rsid w:val="006D7CF9"/>
    <w:rsid w:val="006E0B09"/>
    <w:rsid w:val="006E13AD"/>
    <w:rsid w:val="006E26C8"/>
    <w:rsid w:val="006E6770"/>
    <w:rsid w:val="006F0F1F"/>
    <w:rsid w:val="006F29D1"/>
    <w:rsid w:val="006F4AE3"/>
    <w:rsid w:val="0070016B"/>
    <w:rsid w:val="00704889"/>
    <w:rsid w:val="00704D54"/>
    <w:rsid w:val="007061AD"/>
    <w:rsid w:val="00710226"/>
    <w:rsid w:val="00711EA9"/>
    <w:rsid w:val="00712563"/>
    <w:rsid w:val="00712625"/>
    <w:rsid w:val="00715606"/>
    <w:rsid w:val="00717363"/>
    <w:rsid w:val="007174B0"/>
    <w:rsid w:val="00717E8F"/>
    <w:rsid w:val="00730F18"/>
    <w:rsid w:val="0073180B"/>
    <w:rsid w:val="007349CC"/>
    <w:rsid w:val="0073547E"/>
    <w:rsid w:val="00735971"/>
    <w:rsid w:val="00737D59"/>
    <w:rsid w:val="00751A47"/>
    <w:rsid w:val="00752C22"/>
    <w:rsid w:val="00753830"/>
    <w:rsid w:val="0075414D"/>
    <w:rsid w:val="00767388"/>
    <w:rsid w:val="0076766B"/>
    <w:rsid w:val="0077073C"/>
    <w:rsid w:val="00775CDB"/>
    <w:rsid w:val="0077603E"/>
    <w:rsid w:val="00780666"/>
    <w:rsid w:val="00781E09"/>
    <w:rsid w:val="00794536"/>
    <w:rsid w:val="00795EE0"/>
    <w:rsid w:val="00796ADD"/>
    <w:rsid w:val="00797502"/>
    <w:rsid w:val="00797C5B"/>
    <w:rsid w:val="007A0116"/>
    <w:rsid w:val="007A4A7E"/>
    <w:rsid w:val="007A5029"/>
    <w:rsid w:val="007A61CD"/>
    <w:rsid w:val="007B3083"/>
    <w:rsid w:val="007B5CD5"/>
    <w:rsid w:val="007C4A86"/>
    <w:rsid w:val="007C58A5"/>
    <w:rsid w:val="007C76FF"/>
    <w:rsid w:val="007D263E"/>
    <w:rsid w:val="007D6144"/>
    <w:rsid w:val="007E15DA"/>
    <w:rsid w:val="007E1B58"/>
    <w:rsid w:val="007E79BD"/>
    <w:rsid w:val="007F0E0D"/>
    <w:rsid w:val="007F1EEC"/>
    <w:rsid w:val="007F3F1B"/>
    <w:rsid w:val="007F43EF"/>
    <w:rsid w:val="00805CD6"/>
    <w:rsid w:val="00813A47"/>
    <w:rsid w:val="0081527D"/>
    <w:rsid w:val="008160A8"/>
    <w:rsid w:val="00822AF3"/>
    <w:rsid w:val="00823285"/>
    <w:rsid w:val="008237C0"/>
    <w:rsid w:val="00824C9F"/>
    <w:rsid w:val="008262E9"/>
    <w:rsid w:val="008269AF"/>
    <w:rsid w:val="00826FE0"/>
    <w:rsid w:val="00836A0C"/>
    <w:rsid w:val="0084421D"/>
    <w:rsid w:val="00844EEF"/>
    <w:rsid w:val="00845FB4"/>
    <w:rsid w:val="00846D0B"/>
    <w:rsid w:val="00847A7C"/>
    <w:rsid w:val="008507EB"/>
    <w:rsid w:val="00851D9B"/>
    <w:rsid w:val="008525CE"/>
    <w:rsid w:val="00854B84"/>
    <w:rsid w:val="00855885"/>
    <w:rsid w:val="0085685E"/>
    <w:rsid w:val="0085686E"/>
    <w:rsid w:val="00856E3D"/>
    <w:rsid w:val="00860BE9"/>
    <w:rsid w:val="00861B38"/>
    <w:rsid w:val="0086305E"/>
    <w:rsid w:val="00870C0F"/>
    <w:rsid w:val="00870E73"/>
    <w:rsid w:val="008741BD"/>
    <w:rsid w:val="008760B2"/>
    <w:rsid w:val="008817C5"/>
    <w:rsid w:val="0088636B"/>
    <w:rsid w:val="00890387"/>
    <w:rsid w:val="008915C4"/>
    <w:rsid w:val="008A4CA3"/>
    <w:rsid w:val="008B3A67"/>
    <w:rsid w:val="008C1890"/>
    <w:rsid w:val="008C270B"/>
    <w:rsid w:val="008D07B0"/>
    <w:rsid w:val="008D2D3D"/>
    <w:rsid w:val="008D39B1"/>
    <w:rsid w:val="008D54DF"/>
    <w:rsid w:val="008D5AF1"/>
    <w:rsid w:val="008D7D65"/>
    <w:rsid w:val="008E1DCB"/>
    <w:rsid w:val="008E2FB9"/>
    <w:rsid w:val="008F22EE"/>
    <w:rsid w:val="008F3C51"/>
    <w:rsid w:val="008F5CA6"/>
    <w:rsid w:val="008F7AA8"/>
    <w:rsid w:val="008F7D75"/>
    <w:rsid w:val="00904928"/>
    <w:rsid w:val="00904EF8"/>
    <w:rsid w:val="00905A96"/>
    <w:rsid w:val="009073CE"/>
    <w:rsid w:val="00912472"/>
    <w:rsid w:val="00913D6A"/>
    <w:rsid w:val="00927844"/>
    <w:rsid w:val="009279A8"/>
    <w:rsid w:val="00932873"/>
    <w:rsid w:val="00933E44"/>
    <w:rsid w:val="00940BBA"/>
    <w:rsid w:val="00943EB4"/>
    <w:rsid w:val="0095160D"/>
    <w:rsid w:val="00952A85"/>
    <w:rsid w:val="00953845"/>
    <w:rsid w:val="00955645"/>
    <w:rsid w:val="00957872"/>
    <w:rsid w:val="00970633"/>
    <w:rsid w:val="00970E1E"/>
    <w:rsid w:val="009739F4"/>
    <w:rsid w:val="00974587"/>
    <w:rsid w:val="00975886"/>
    <w:rsid w:val="009773CE"/>
    <w:rsid w:val="00980B05"/>
    <w:rsid w:val="00981A47"/>
    <w:rsid w:val="0098393F"/>
    <w:rsid w:val="00987602"/>
    <w:rsid w:val="00987B08"/>
    <w:rsid w:val="00990137"/>
    <w:rsid w:val="0099332D"/>
    <w:rsid w:val="009951EC"/>
    <w:rsid w:val="0099720A"/>
    <w:rsid w:val="009A0045"/>
    <w:rsid w:val="009A074E"/>
    <w:rsid w:val="009A26D9"/>
    <w:rsid w:val="009A6BF9"/>
    <w:rsid w:val="009A7AA3"/>
    <w:rsid w:val="009B5657"/>
    <w:rsid w:val="009C3184"/>
    <w:rsid w:val="009C5533"/>
    <w:rsid w:val="009D05FA"/>
    <w:rsid w:val="009D10C2"/>
    <w:rsid w:val="009D436A"/>
    <w:rsid w:val="009E159F"/>
    <w:rsid w:val="009E4502"/>
    <w:rsid w:val="009E7129"/>
    <w:rsid w:val="009F375B"/>
    <w:rsid w:val="009F4914"/>
    <w:rsid w:val="009F7BC5"/>
    <w:rsid w:val="00A017AE"/>
    <w:rsid w:val="00A01A25"/>
    <w:rsid w:val="00A10BA8"/>
    <w:rsid w:val="00A134FD"/>
    <w:rsid w:val="00A13A41"/>
    <w:rsid w:val="00A15628"/>
    <w:rsid w:val="00A1594F"/>
    <w:rsid w:val="00A21ABC"/>
    <w:rsid w:val="00A22E7C"/>
    <w:rsid w:val="00A264CF"/>
    <w:rsid w:val="00A26B79"/>
    <w:rsid w:val="00A27EA6"/>
    <w:rsid w:val="00A31871"/>
    <w:rsid w:val="00A33A9D"/>
    <w:rsid w:val="00A4102C"/>
    <w:rsid w:val="00A428AE"/>
    <w:rsid w:val="00A457D8"/>
    <w:rsid w:val="00A5353D"/>
    <w:rsid w:val="00A53E27"/>
    <w:rsid w:val="00A561B7"/>
    <w:rsid w:val="00A609FA"/>
    <w:rsid w:val="00A60DE6"/>
    <w:rsid w:val="00A62831"/>
    <w:rsid w:val="00A65F3F"/>
    <w:rsid w:val="00A66413"/>
    <w:rsid w:val="00A66738"/>
    <w:rsid w:val="00A74585"/>
    <w:rsid w:val="00A77D07"/>
    <w:rsid w:val="00A82404"/>
    <w:rsid w:val="00A86A19"/>
    <w:rsid w:val="00A90AD8"/>
    <w:rsid w:val="00AB0DA8"/>
    <w:rsid w:val="00AB1090"/>
    <w:rsid w:val="00AB1CC9"/>
    <w:rsid w:val="00AB29FE"/>
    <w:rsid w:val="00AB367D"/>
    <w:rsid w:val="00AB4C11"/>
    <w:rsid w:val="00AB5586"/>
    <w:rsid w:val="00AC253D"/>
    <w:rsid w:val="00AC6BD6"/>
    <w:rsid w:val="00AD08E2"/>
    <w:rsid w:val="00AD2397"/>
    <w:rsid w:val="00AE0EA5"/>
    <w:rsid w:val="00AE24C7"/>
    <w:rsid w:val="00AE3AD5"/>
    <w:rsid w:val="00AE4707"/>
    <w:rsid w:val="00AF00D6"/>
    <w:rsid w:val="00AF0DA4"/>
    <w:rsid w:val="00AF3D98"/>
    <w:rsid w:val="00B04C0B"/>
    <w:rsid w:val="00B057B0"/>
    <w:rsid w:val="00B069E9"/>
    <w:rsid w:val="00B07AE4"/>
    <w:rsid w:val="00B07DB5"/>
    <w:rsid w:val="00B1206F"/>
    <w:rsid w:val="00B15238"/>
    <w:rsid w:val="00B1690E"/>
    <w:rsid w:val="00B17A31"/>
    <w:rsid w:val="00B244A1"/>
    <w:rsid w:val="00B256D1"/>
    <w:rsid w:val="00B320A9"/>
    <w:rsid w:val="00B35284"/>
    <w:rsid w:val="00B352E8"/>
    <w:rsid w:val="00B36B0C"/>
    <w:rsid w:val="00B40C51"/>
    <w:rsid w:val="00B46721"/>
    <w:rsid w:val="00B51693"/>
    <w:rsid w:val="00B54D0D"/>
    <w:rsid w:val="00B54E93"/>
    <w:rsid w:val="00B557D1"/>
    <w:rsid w:val="00B55A4D"/>
    <w:rsid w:val="00B561EE"/>
    <w:rsid w:val="00B57B02"/>
    <w:rsid w:val="00B612A0"/>
    <w:rsid w:val="00B62FE3"/>
    <w:rsid w:val="00B63CDB"/>
    <w:rsid w:val="00B710D5"/>
    <w:rsid w:val="00B73EB0"/>
    <w:rsid w:val="00B75D4C"/>
    <w:rsid w:val="00B77BF8"/>
    <w:rsid w:val="00B869C8"/>
    <w:rsid w:val="00B909C4"/>
    <w:rsid w:val="00B910D7"/>
    <w:rsid w:val="00B918F7"/>
    <w:rsid w:val="00B924DB"/>
    <w:rsid w:val="00B93442"/>
    <w:rsid w:val="00B9400F"/>
    <w:rsid w:val="00B96086"/>
    <w:rsid w:val="00BA00A9"/>
    <w:rsid w:val="00BA139A"/>
    <w:rsid w:val="00BB0F0B"/>
    <w:rsid w:val="00BB6736"/>
    <w:rsid w:val="00BC37DC"/>
    <w:rsid w:val="00BC42EC"/>
    <w:rsid w:val="00BC530D"/>
    <w:rsid w:val="00BC6305"/>
    <w:rsid w:val="00BC6DAF"/>
    <w:rsid w:val="00BD0C87"/>
    <w:rsid w:val="00BD25DA"/>
    <w:rsid w:val="00BD2D3A"/>
    <w:rsid w:val="00BD3DD4"/>
    <w:rsid w:val="00BD56EF"/>
    <w:rsid w:val="00BD6E1D"/>
    <w:rsid w:val="00BE0051"/>
    <w:rsid w:val="00BE2FFF"/>
    <w:rsid w:val="00BE5371"/>
    <w:rsid w:val="00BF1443"/>
    <w:rsid w:val="00BF1BC0"/>
    <w:rsid w:val="00BF3535"/>
    <w:rsid w:val="00BF5EF7"/>
    <w:rsid w:val="00C0575E"/>
    <w:rsid w:val="00C10ABA"/>
    <w:rsid w:val="00C10F38"/>
    <w:rsid w:val="00C11871"/>
    <w:rsid w:val="00C12FBF"/>
    <w:rsid w:val="00C16E0E"/>
    <w:rsid w:val="00C21866"/>
    <w:rsid w:val="00C21D10"/>
    <w:rsid w:val="00C2263D"/>
    <w:rsid w:val="00C2446D"/>
    <w:rsid w:val="00C256BF"/>
    <w:rsid w:val="00C25D48"/>
    <w:rsid w:val="00C26844"/>
    <w:rsid w:val="00C300CF"/>
    <w:rsid w:val="00C31A88"/>
    <w:rsid w:val="00C3269F"/>
    <w:rsid w:val="00C332C2"/>
    <w:rsid w:val="00C34BEC"/>
    <w:rsid w:val="00C36842"/>
    <w:rsid w:val="00C4137F"/>
    <w:rsid w:val="00C41B6B"/>
    <w:rsid w:val="00C44977"/>
    <w:rsid w:val="00C44CEC"/>
    <w:rsid w:val="00C50312"/>
    <w:rsid w:val="00C51E19"/>
    <w:rsid w:val="00C52A91"/>
    <w:rsid w:val="00C535AD"/>
    <w:rsid w:val="00C55CE6"/>
    <w:rsid w:val="00C64EE3"/>
    <w:rsid w:val="00C71AA4"/>
    <w:rsid w:val="00C71AC6"/>
    <w:rsid w:val="00C750AE"/>
    <w:rsid w:val="00C76317"/>
    <w:rsid w:val="00C77D05"/>
    <w:rsid w:val="00C80BC7"/>
    <w:rsid w:val="00C837BD"/>
    <w:rsid w:val="00C84319"/>
    <w:rsid w:val="00C869CA"/>
    <w:rsid w:val="00C9402E"/>
    <w:rsid w:val="00C96365"/>
    <w:rsid w:val="00CA07C2"/>
    <w:rsid w:val="00CA148B"/>
    <w:rsid w:val="00CA1E03"/>
    <w:rsid w:val="00CA7C2A"/>
    <w:rsid w:val="00CB21CF"/>
    <w:rsid w:val="00CB23A6"/>
    <w:rsid w:val="00CB4D03"/>
    <w:rsid w:val="00CB4D68"/>
    <w:rsid w:val="00CB5C8D"/>
    <w:rsid w:val="00CC0AED"/>
    <w:rsid w:val="00CC420D"/>
    <w:rsid w:val="00CD0700"/>
    <w:rsid w:val="00CD2EEA"/>
    <w:rsid w:val="00CD4F3F"/>
    <w:rsid w:val="00CE29CE"/>
    <w:rsid w:val="00CE38B1"/>
    <w:rsid w:val="00CE4883"/>
    <w:rsid w:val="00CF4E38"/>
    <w:rsid w:val="00CF54C6"/>
    <w:rsid w:val="00CF54FF"/>
    <w:rsid w:val="00CF6D2B"/>
    <w:rsid w:val="00D0402A"/>
    <w:rsid w:val="00D058C0"/>
    <w:rsid w:val="00D0699E"/>
    <w:rsid w:val="00D06D7D"/>
    <w:rsid w:val="00D15276"/>
    <w:rsid w:val="00D24E83"/>
    <w:rsid w:val="00D2689D"/>
    <w:rsid w:val="00D31DD0"/>
    <w:rsid w:val="00D347BF"/>
    <w:rsid w:val="00D34913"/>
    <w:rsid w:val="00D34C1F"/>
    <w:rsid w:val="00D35A75"/>
    <w:rsid w:val="00D5400E"/>
    <w:rsid w:val="00D546A0"/>
    <w:rsid w:val="00D6213F"/>
    <w:rsid w:val="00D6371E"/>
    <w:rsid w:val="00D63AA5"/>
    <w:rsid w:val="00D6466F"/>
    <w:rsid w:val="00D6492D"/>
    <w:rsid w:val="00D662DE"/>
    <w:rsid w:val="00D66346"/>
    <w:rsid w:val="00D66DAB"/>
    <w:rsid w:val="00D715E6"/>
    <w:rsid w:val="00D71C0C"/>
    <w:rsid w:val="00D750DE"/>
    <w:rsid w:val="00D80DDE"/>
    <w:rsid w:val="00D83126"/>
    <w:rsid w:val="00D85E3D"/>
    <w:rsid w:val="00D862B3"/>
    <w:rsid w:val="00DA0162"/>
    <w:rsid w:val="00DA40AC"/>
    <w:rsid w:val="00DA40C6"/>
    <w:rsid w:val="00DA4B40"/>
    <w:rsid w:val="00DA570F"/>
    <w:rsid w:val="00DA5B6C"/>
    <w:rsid w:val="00DA5D02"/>
    <w:rsid w:val="00DA7079"/>
    <w:rsid w:val="00DA794F"/>
    <w:rsid w:val="00DB107B"/>
    <w:rsid w:val="00DB35DA"/>
    <w:rsid w:val="00DB3B59"/>
    <w:rsid w:val="00DB5CB7"/>
    <w:rsid w:val="00DB69A2"/>
    <w:rsid w:val="00DC0E05"/>
    <w:rsid w:val="00DC1561"/>
    <w:rsid w:val="00DC6E71"/>
    <w:rsid w:val="00DD63AB"/>
    <w:rsid w:val="00DE0531"/>
    <w:rsid w:val="00DE4776"/>
    <w:rsid w:val="00DE4D13"/>
    <w:rsid w:val="00DF112B"/>
    <w:rsid w:val="00DF13FB"/>
    <w:rsid w:val="00DF19C1"/>
    <w:rsid w:val="00DF2051"/>
    <w:rsid w:val="00DF7730"/>
    <w:rsid w:val="00E0399B"/>
    <w:rsid w:val="00E0501A"/>
    <w:rsid w:val="00E06F02"/>
    <w:rsid w:val="00E122D7"/>
    <w:rsid w:val="00E1250E"/>
    <w:rsid w:val="00E13853"/>
    <w:rsid w:val="00E2253A"/>
    <w:rsid w:val="00E35490"/>
    <w:rsid w:val="00E406AE"/>
    <w:rsid w:val="00E40A60"/>
    <w:rsid w:val="00E438E6"/>
    <w:rsid w:val="00E56086"/>
    <w:rsid w:val="00E560AD"/>
    <w:rsid w:val="00E626CB"/>
    <w:rsid w:val="00E654E0"/>
    <w:rsid w:val="00E65748"/>
    <w:rsid w:val="00E66B5E"/>
    <w:rsid w:val="00E70885"/>
    <w:rsid w:val="00E70AC0"/>
    <w:rsid w:val="00E71504"/>
    <w:rsid w:val="00E71E22"/>
    <w:rsid w:val="00E75F40"/>
    <w:rsid w:val="00E76C30"/>
    <w:rsid w:val="00E76DFD"/>
    <w:rsid w:val="00E80FCF"/>
    <w:rsid w:val="00E817FC"/>
    <w:rsid w:val="00E83C6A"/>
    <w:rsid w:val="00E95BB6"/>
    <w:rsid w:val="00E9671A"/>
    <w:rsid w:val="00EA06AB"/>
    <w:rsid w:val="00EA0DCF"/>
    <w:rsid w:val="00EA2007"/>
    <w:rsid w:val="00EA31F2"/>
    <w:rsid w:val="00EA3E36"/>
    <w:rsid w:val="00EB293B"/>
    <w:rsid w:val="00EB2C68"/>
    <w:rsid w:val="00EB3A8D"/>
    <w:rsid w:val="00EB77E1"/>
    <w:rsid w:val="00EC3A1E"/>
    <w:rsid w:val="00EC64CC"/>
    <w:rsid w:val="00ED08CA"/>
    <w:rsid w:val="00ED20F0"/>
    <w:rsid w:val="00ED3167"/>
    <w:rsid w:val="00ED3E6F"/>
    <w:rsid w:val="00EE0958"/>
    <w:rsid w:val="00EE4B7E"/>
    <w:rsid w:val="00EE53F0"/>
    <w:rsid w:val="00EE676D"/>
    <w:rsid w:val="00EF0B2A"/>
    <w:rsid w:val="00EF0F3B"/>
    <w:rsid w:val="00EF7530"/>
    <w:rsid w:val="00F006E8"/>
    <w:rsid w:val="00F0398B"/>
    <w:rsid w:val="00F04F6A"/>
    <w:rsid w:val="00F05663"/>
    <w:rsid w:val="00F129AB"/>
    <w:rsid w:val="00F154B8"/>
    <w:rsid w:val="00F17683"/>
    <w:rsid w:val="00F20E98"/>
    <w:rsid w:val="00F20F59"/>
    <w:rsid w:val="00F23B9B"/>
    <w:rsid w:val="00F24644"/>
    <w:rsid w:val="00F36374"/>
    <w:rsid w:val="00F36A9A"/>
    <w:rsid w:val="00F42672"/>
    <w:rsid w:val="00F5165C"/>
    <w:rsid w:val="00F520AA"/>
    <w:rsid w:val="00F52EE0"/>
    <w:rsid w:val="00F564B5"/>
    <w:rsid w:val="00F56781"/>
    <w:rsid w:val="00F620A4"/>
    <w:rsid w:val="00F62C27"/>
    <w:rsid w:val="00F65183"/>
    <w:rsid w:val="00F7091C"/>
    <w:rsid w:val="00F73F62"/>
    <w:rsid w:val="00F761B6"/>
    <w:rsid w:val="00F821EA"/>
    <w:rsid w:val="00F82EA9"/>
    <w:rsid w:val="00F83976"/>
    <w:rsid w:val="00F83D50"/>
    <w:rsid w:val="00F84F38"/>
    <w:rsid w:val="00F87EA3"/>
    <w:rsid w:val="00F905F2"/>
    <w:rsid w:val="00F90FE0"/>
    <w:rsid w:val="00F93DFB"/>
    <w:rsid w:val="00F944A4"/>
    <w:rsid w:val="00F95542"/>
    <w:rsid w:val="00F957BE"/>
    <w:rsid w:val="00F965F9"/>
    <w:rsid w:val="00F97357"/>
    <w:rsid w:val="00F979F2"/>
    <w:rsid w:val="00FA0390"/>
    <w:rsid w:val="00FA3D23"/>
    <w:rsid w:val="00FA5777"/>
    <w:rsid w:val="00FB037E"/>
    <w:rsid w:val="00FB077B"/>
    <w:rsid w:val="00FB40FC"/>
    <w:rsid w:val="00FB6C11"/>
    <w:rsid w:val="00FC21BF"/>
    <w:rsid w:val="00FC6784"/>
    <w:rsid w:val="00FC7F1A"/>
    <w:rsid w:val="00FD767C"/>
    <w:rsid w:val="00FE625F"/>
    <w:rsid w:val="00FE698F"/>
    <w:rsid w:val="00FF051A"/>
    <w:rsid w:val="00FF38ED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9277C7"/>
  <w15:docId w15:val="{E1014E08-58F8-4DEF-8141-0837B66C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1A8D"/>
    <w:pPr>
      <w:spacing w:before="120"/>
      <w:contextualSpacing/>
      <w:jc w:val="both"/>
    </w:pPr>
    <w:rPr>
      <w:rFonts w:ascii="Arial" w:hAnsi="Arial"/>
      <w:sz w:val="22"/>
    </w:rPr>
  </w:style>
  <w:style w:type="paragraph" w:styleId="Heading1">
    <w:name w:val="heading 1"/>
    <w:next w:val="Normal"/>
    <w:qFormat/>
    <w:rsid w:val="00DB3B59"/>
    <w:pPr>
      <w:keepNext/>
      <w:numPr>
        <w:numId w:val="11"/>
      </w:numPr>
      <w:tabs>
        <w:tab w:val="left" w:pos="0"/>
      </w:tabs>
      <w:spacing w:before="480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next w:val="Normal"/>
    <w:qFormat/>
    <w:rsid w:val="00987602"/>
    <w:pPr>
      <w:keepNext/>
      <w:numPr>
        <w:ilvl w:val="1"/>
        <w:numId w:val="11"/>
      </w:numPr>
      <w:tabs>
        <w:tab w:val="left" w:pos="0"/>
      </w:tabs>
      <w:spacing w:before="360"/>
      <w:outlineLvl w:val="1"/>
    </w:pPr>
    <w:rPr>
      <w:rFonts w:ascii="Arial" w:hAnsi="Arial"/>
      <w:b/>
      <w:sz w:val="24"/>
    </w:rPr>
  </w:style>
  <w:style w:type="paragraph" w:styleId="Heading3">
    <w:name w:val="heading 3"/>
    <w:next w:val="Normal"/>
    <w:link w:val="Heading3Char"/>
    <w:qFormat/>
    <w:rsid w:val="006F29D1"/>
    <w:pPr>
      <w:keepNext/>
      <w:numPr>
        <w:ilvl w:val="2"/>
        <w:numId w:val="11"/>
      </w:numPr>
      <w:tabs>
        <w:tab w:val="left" w:pos="992"/>
      </w:tabs>
      <w:spacing w:before="360"/>
      <w:outlineLvl w:val="2"/>
    </w:pPr>
    <w:rPr>
      <w:rFonts w:ascii="Arial" w:hAnsi="Arial"/>
      <w:sz w:val="22"/>
    </w:rPr>
  </w:style>
  <w:style w:type="paragraph" w:styleId="Heading4">
    <w:name w:val="heading 4"/>
    <w:next w:val="Normal"/>
    <w:qFormat/>
    <w:rsid w:val="00180ECC"/>
    <w:pPr>
      <w:keepNext/>
      <w:numPr>
        <w:ilvl w:val="3"/>
        <w:numId w:val="11"/>
      </w:numPr>
      <w:spacing w:before="360"/>
      <w:outlineLvl w:val="3"/>
    </w:pPr>
    <w:rPr>
      <w:rFonts w:ascii="Arial" w:hAnsi="Arial"/>
      <w:b/>
      <w:i/>
      <w:snapToGrid w:val="0"/>
      <w:color w:val="000000"/>
      <w:sz w:val="22"/>
    </w:rPr>
  </w:style>
  <w:style w:type="paragraph" w:styleId="Heading5">
    <w:name w:val="heading 5"/>
    <w:basedOn w:val="Normal"/>
    <w:next w:val="Normal"/>
    <w:qFormat/>
    <w:rsid w:val="009951EC"/>
    <w:pPr>
      <w:keepLines/>
      <w:numPr>
        <w:ilvl w:val="4"/>
        <w:numId w:val="11"/>
      </w:numPr>
      <w:spacing w:before="240" w:after="12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qFormat/>
    <w:rsid w:val="00C12FBF"/>
    <w:pPr>
      <w:keepNext/>
      <w:keepLines/>
      <w:numPr>
        <w:ilvl w:val="5"/>
        <w:numId w:val="11"/>
      </w:numPr>
      <w:spacing w:before="240" w:after="120" w:line="280" w:lineRule="exact"/>
      <w:outlineLvl w:val="5"/>
    </w:pPr>
    <w:rPr>
      <w:b/>
      <w:kern w:val="28"/>
    </w:rPr>
  </w:style>
  <w:style w:type="paragraph" w:styleId="Heading7">
    <w:name w:val="heading 7"/>
    <w:basedOn w:val="Normal"/>
    <w:next w:val="Normal"/>
    <w:qFormat/>
    <w:rsid w:val="00C12FBF"/>
    <w:pPr>
      <w:keepNext/>
      <w:keepLines/>
      <w:numPr>
        <w:ilvl w:val="6"/>
        <w:numId w:val="11"/>
      </w:numPr>
      <w:spacing w:before="240" w:after="120" w:line="280" w:lineRule="exact"/>
      <w:outlineLvl w:val="6"/>
    </w:pPr>
    <w:rPr>
      <w:kern w:val="28"/>
    </w:rPr>
  </w:style>
  <w:style w:type="paragraph" w:styleId="Heading8">
    <w:name w:val="heading 8"/>
    <w:basedOn w:val="Normal"/>
    <w:next w:val="Normal"/>
    <w:qFormat/>
    <w:rsid w:val="00C12FBF"/>
    <w:pPr>
      <w:keepNext/>
      <w:keepLines/>
      <w:numPr>
        <w:ilvl w:val="7"/>
        <w:numId w:val="11"/>
      </w:numPr>
      <w:spacing w:before="240" w:after="120" w:line="280" w:lineRule="exact"/>
      <w:outlineLvl w:val="7"/>
    </w:pPr>
    <w:rPr>
      <w:i/>
      <w:kern w:val="28"/>
    </w:rPr>
  </w:style>
  <w:style w:type="paragraph" w:styleId="Heading9">
    <w:name w:val="heading 9"/>
    <w:basedOn w:val="Normal"/>
    <w:next w:val="Normal"/>
    <w:qFormat/>
    <w:rsid w:val="00C12FBF"/>
    <w:pPr>
      <w:keepNext/>
      <w:keepLines/>
      <w:numPr>
        <w:ilvl w:val="8"/>
        <w:numId w:val="11"/>
      </w:numPr>
      <w:spacing w:before="240" w:after="120" w:line="280" w:lineRule="exact"/>
      <w:outlineLvl w:val="8"/>
    </w:pPr>
    <w:rPr>
      <w:i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ullet1">
    <w:name w:val="Bullet 1"/>
    <w:rsid w:val="00230656"/>
    <w:pPr>
      <w:numPr>
        <w:numId w:val="1"/>
      </w:numPr>
    </w:pPr>
  </w:style>
  <w:style w:type="paragraph" w:customStyle="1" w:styleId="Normalindent25">
    <w:name w:val="Normal (indent 2.5)"/>
    <w:basedOn w:val="Normalindent15"/>
    <w:rsid w:val="0070016B"/>
    <w:pPr>
      <w:ind w:left="1418"/>
    </w:pPr>
  </w:style>
  <w:style w:type="numbering" w:customStyle="1" w:styleId="Bullet2">
    <w:name w:val="Bullet 2"/>
    <w:basedOn w:val="NoList"/>
    <w:rsid w:val="00C21866"/>
    <w:pPr>
      <w:numPr>
        <w:numId w:val="2"/>
      </w:numPr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aNumbered">
    <w:name w:val="(a) Numbered"/>
    <w:basedOn w:val="Normal"/>
    <w:rsid w:val="00C80BC7"/>
    <w:pPr>
      <w:tabs>
        <w:tab w:val="num" w:pos="425"/>
        <w:tab w:val="left" w:pos="851"/>
      </w:tabs>
      <w:ind w:left="851" w:hanging="426"/>
    </w:pPr>
  </w:style>
  <w:style w:type="paragraph" w:customStyle="1" w:styleId="Title1">
    <w:name w:val="Title 1"/>
    <w:next w:val="Normal"/>
    <w:rsid w:val="00F20F59"/>
    <w:pPr>
      <w:jc w:val="center"/>
    </w:pPr>
    <w:rPr>
      <w:rFonts w:ascii="Arial" w:hAnsi="Arial"/>
      <w:b/>
      <w:bCs/>
      <w:sz w:val="52"/>
    </w:rPr>
  </w:style>
  <w:style w:type="paragraph" w:styleId="TOC1">
    <w:name w:val="toc 1"/>
    <w:next w:val="Normal"/>
    <w:autoRedefine/>
    <w:uiPriority w:val="39"/>
    <w:rsid w:val="00534B73"/>
    <w:pPr>
      <w:tabs>
        <w:tab w:val="left" w:pos="567"/>
        <w:tab w:val="right" w:leader="dot" w:pos="8662"/>
      </w:tabs>
      <w:spacing w:before="120"/>
      <w:ind w:left="567" w:hanging="567"/>
    </w:pPr>
    <w:rPr>
      <w:rFonts w:ascii="Arial" w:hAnsi="Arial"/>
      <w:b/>
      <w:bCs/>
      <w:iCs/>
      <w:sz w:val="24"/>
      <w:szCs w:val="24"/>
    </w:rPr>
  </w:style>
  <w:style w:type="paragraph" w:styleId="TOC2">
    <w:name w:val="toc 2"/>
    <w:next w:val="Normal"/>
    <w:autoRedefine/>
    <w:uiPriority w:val="39"/>
    <w:rsid w:val="00534B73"/>
    <w:pPr>
      <w:tabs>
        <w:tab w:val="left" w:pos="1134"/>
        <w:tab w:val="right" w:leader="dot" w:pos="8662"/>
      </w:tabs>
      <w:spacing w:before="120"/>
      <w:ind w:left="1134" w:hanging="567"/>
    </w:pPr>
    <w:rPr>
      <w:rFonts w:ascii="Arial" w:hAnsi="Arial"/>
      <w:bCs/>
      <w:snapToGrid w:val="0"/>
      <w:sz w:val="22"/>
      <w:szCs w:val="22"/>
    </w:rPr>
  </w:style>
  <w:style w:type="paragraph" w:customStyle="1" w:styleId="Normalindent1">
    <w:name w:val="Normal (indent 1)"/>
    <w:basedOn w:val="Normal"/>
    <w:link w:val="Normalindent1Char"/>
    <w:rsid w:val="007A0116"/>
    <w:pPr>
      <w:ind w:left="567"/>
    </w:pPr>
  </w:style>
  <w:style w:type="numbering" w:customStyle="1" w:styleId="Bulletindent1">
    <w:name w:val="Bullet (indent 1)"/>
    <w:rsid w:val="0070016B"/>
    <w:pPr>
      <w:numPr>
        <w:numId w:val="3"/>
      </w:numPr>
    </w:pPr>
  </w:style>
  <w:style w:type="paragraph" w:customStyle="1" w:styleId="Normalindent15">
    <w:name w:val="Normal (indent 1.5)"/>
    <w:basedOn w:val="Normalindent1"/>
    <w:link w:val="Normalindent15Char"/>
    <w:rsid w:val="00D058C0"/>
    <w:pPr>
      <w:ind w:left="992"/>
    </w:pPr>
  </w:style>
  <w:style w:type="character" w:customStyle="1" w:styleId="Normalindent1Char">
    <w:name w:val="Normal (indent 1) Char"/>
    <w:link w:val="Normalindent1"/>
    <w:rsid w:val="0055205E"/>
    <w:rPr>
      <w:rFonts w:ascii="Arial" w:hAnsi="Arial"/>
      <w:sz w:val="22"/>
      <w:lang w:val="pt-PT" w:eastAsia="en-US" w:bidi="ar-SA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character" w:customStyle="1" w:styleId="Normalindent15Char">
    <w:name w:val="Normal (indent 1.5) Char"/>
    <w:basedOn w:val="Normalindent1Char"/>
    <w:link w:val="Normalindent15"/>
    <w:rsid w:val="00D058C0"/>
    <w:rPr>
      <w:rFonts w:ascii="Arial" w:hAnsi="Arial"/>
      <w:sz w:val="22"/>
      <w:lang w:val="pt-PT" w:eastAsia="en-US" w:bidi="ar-SA"/>
    </w:rPr>
  </w:style>
  <w:style w:type="paragraph" w:styleId="TOC3">
    <w:name w:val="toc 3"/>
    <w:next w:val="Normal"/>
    <w:autoRedefine/>
    <w:uiPriority w:val="39"/>
    <w:rsid w:val="00180ECC"/>
    <w:pPr>
      <w:ind w:left="480"/>
    </w:pPr>
    <w:rPr>
      <w:rFonts w:ascii="Arial" w:hAnsi="Arial"/>
      <w:sz w:val="22"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</w:style>
  <w:style w:type="character" w:styleId="FollowedHyperlink">
    <w:name w:val="FollowedHyperlink"/>
    <w:semiHidden/>
    <w:rPr>
      <w:color w:val="800080"/>
      <w:u w:val="single"/>
    </w:rPr>
  </w:style>
  <w:style w:type="paragraph" w:styleId="FootnoteText">
    <w:name w:val="footnote text"/>
    <w:aliases w:val="single space,footnote text,Footnote Text Char1 Char,Footnote Text Char Char Char,ft,fn,FOOTNOTES, Char Char Char, Char Char,ADB,WB-Fußnotentext,Footnote,Fußnote,Char Char Char,Char Char,ALTS FOOTNOTE,Footnote Text 1,Footnote Text Char1,f"/>
    <w:basedOn w:val="Normal"/>
    <w:link w:val="FootnoteTextChar"/>
    <w:uiPriority w:val="99"/>
    <w:rPr>
      <w:sz w:val="20"/>
    </w:rPr>
  </w:style>
  <w:style w:type="character" w:styleId="FootnoteReference">
    <w:name w:val="footnote reference"/>
    <w:aliases w:val="ftref,Error-Fußnotenzeichen5,Error-Fußnotenzeichen6,Error-Fußnotenzeichen3,Footnote Reference1, BVI fnr,Footnote Reference Number,Footnote Reference_LVL6,Footnote Reference_LVL61,Footnote Reference_LVL62,Footnote Reference_LVL63,fr"/>
    <w:uiPriority w:val="99"/>
    <w:rPr>
      <w:vertAlign w:val="superscript"/>
    </w:rPr>
  </w:style>
  <w:style w:type="character" w:customStyle="1" w:styleId="Heading3Char">
    <w:name w:val="Heading 3 Char"/>
    <w:link w:val="Heading3"/>
    <w:rsid w:val="006F29D1"/>
    <w:rPr>
      <w:rFonts w:ascii="Arial" w:hAnsi="Arial"/>
      <w:sz w:val="22"/>
      <w:lang w:val="pt-PT"/>
    </w:rPr>
  </w:style>
  <w:style w:type="character" w:customStyle="1" w:styleId="TOCHeading1">
    <w:name w:val="TOC Heading1"/>
    <w:rsid w:val="00064DE6"/>
    <w:rPr>
      <w:b/>
      <w:sz w:val="28"/>
    </w:rPr>
  </w:style>
  <w:style w:type="paragraph" w:customStyle="1" w:styleId="Heading3Bold">
    <w:name w:val="Heading 3 + Bold"/>
    <w:basedOn w:val="Heading3"/>
    <w:link w:val="Heading3BoldChar"/>
    <w:rsid w:val="00234C80"/>
    <w:pPr>
      <w:tabs>
        <w:tab w:val="num" w:pos="720"/>
      </w:tabs>
    </w:pPr>
    <w:rPr>
      <w:b/>
      <w:bCs/>
    </w:rPr>
  </w:style>
  <w:style w:type="character" w:customStyle="1" w:styleId="Heading3BoldChar">
    <w:name w:val="Heading 3 + Bold Char"/>
    <w:link w:val="Heading3Bold"/>
    <w:rsid w:val="00234C80"/>
    <w:rPr>
      <w:rFonts w:ascii="Arial" w:hAnsi="Arial"/>
      <w:b/>
      <w:bCs/>
      <w:sz w:val="22"/>
      <w:lang w:val="pt-PT"/>
    </w:rPr>
  </w:style>
  <w:style w:type="paragraph" w:customStyle="1" w:styleId="Title2">
    <w:name w:val="Title 2"/>
    <w:rsid w:val="00F20F59"/>
    <w:pPr>
      <w:jc w:val="center"/>
    </w:pPr>
    <w:rPr>
      <w:rFonts w:ascii="Arial" w:hAnsi="Arial"/>
      <w:b/>
      <w:bCs/>
      <w:i/>
      <w:color w:val="0000FF"/>
      <w:sz w:val="48"/>
    </w:rPr>
  </w:style>
  <w:style w:type="paragraph" w:customStyle="1" w:styleId="Title3">
    <w:name w:val="Title 3"/>
    <w:rsid w:val="00F20F59"/>
    <w:pPr>
      <w:jc w:val="center"/>
    </w:pPr>
    <w:rPr>
      <w:rFonts w:ascii="Arial" w:hAnsi="Arial"/>
      <w:sz w:val="24"/>
    </w:rPr>
  </w:style>
  <w:style w:type="paragraph" w:customStyle="1" w:styleId="Title4">
    <w:name w:val="Title 4"/>
    <w:rsid w:val="00F20F59"/>
    <w:pPr>
      <w:jc w:val="right"/>
    </w:pPr>
    <w:rPr>
      <w:rFonts w:ascii="Arial" w:hAnsi="Arial"/>
      <w:sz w:val="22"/>
    </w:rPr>
  </w:style>
  <w:style w:type="paragraph" w:customStyle="1" w:styleId="Numbered">
    <w:name w:val="Numbered"/>
    <w:basedOn w:val="Normal"/>
    <w:link w:val="NumberedChar"/>
    <w:rsid w:val="00C80BC7"/>
    <w:pPr>
      <w:numPr>
        <w:numId w:val="6"/>
      </w:numPr>
      <w:spacing w:before="240"/>
      <w:contextualSpacing w:val="0"/>
    </w:pPr>
  </w:style>
  <w:style w:type="character" w:customStyle="1" w:styleId="NumberedChar">
    <w:name w:val="Numbered Char"/>
    <w:link w:val="Numbered"/>
    <w:rsid w:val="003A1108"/>
    <w:rPr>
      <w:rFonts w:ascii="Arial" w:hAnsi="Arial"/>
      <w:sz w:val="22"/>
      <w:lang w:val="pt-PT"/>
    </w:rPr>
  </w:style>
  <w:style w:type="paragraph" w:styleId="Caption">
    <w:name w:val="caption"/>
    <w:basedOn w:val="Normal"/>
    <w:next w:val="Normal"/>
    <w:qFormat/>
    <w:rsid w:val="004D7D9A"/>
    <w:pPr>
      <w:spacing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uiPriority w:val="99"/>
    <w:rsid w:val="00251694"/>
    <w:pPr>
      <w:ind w:left="440" w:hanging="440"/>
    </w:pPr>
  </w:style>
  <w:style w:type="paragraph" w:styleId="BalloonText">
    <w:name w:val="Balloon Text"/>
    <w:basedOn w:val="Normal"/>
    <w:semiHidden/>
    <w:rsid w:val="00844EE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44EE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44EEF"/>
    <w:rPr>
      <w:sz w:val="20"/>
    </w:rPr>
  </w:style>
  <w:style w:type="paragraph" w:styleId="CommentSubject">
    <w:name w:val="annotation subject"/>
    <w:basedOn w:val="CommentText"/>
    <w:next w:val="CommentText"/>
    <w:semiHidden/>
    <w:rsid w:val="00844EEF"/>
    <w:rPr>
      <w:b/>
      <w:bCs/>
    </w:rPr>
  </w:style>
  <w:style w:type="paragraph" w:customStyle="1" w:styleId="Normalnuma">
    <w:name w:val="Normal num a"/>
    <w:basedOn w:val="aNumbered"/>
    <w:qFormat/>
    <w:rsid w:val="00FF38ED"/>
    <w:pPr>
      <w:numPr>
        <w:numId w:val="4"/>
      </w:numPr>
      <w:spacing w:after="120"/>
    </w:pPr>
  </w:style>
  <w:style w:type="paragraph" w:customStyle="1" w:styleId="Normalnum1">
    <w:name w:val="Normal num 1"/>
    <w:basedOn w:val="Numbered"/>
    <w:qFormat/>
    <w:rsid w:val="00FF38ED"/>
    <w:pPr>
      <w:spacing w:after="120"/>
    </w:pPr>
  </w:style>
  <w:style w:type="paragraph" w:styleId="DocumentMap">
    <w:name w:val="Document Map"/>
    <w:basedOn w:val="Normal"/>
    <w:link w:val="DocumentMapChar"/>
    <w:semiHidden/>
    <w:unhideWhenUsed/>
    <w:rsid w:val="00611B07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611B07"/>
    <w:rPr>
      <w:rFonts w:ascii="Lucida Grande" w:hAnsi="Lucida Grande" w:cs="Lucida Grande"/>
      <w:sz w:val="24"/>
      <w:szCs w:val="24"/>
      <w:lang w:val="pt-PT"/>
    </w:rPr>
  </w:style>
  <w:style w:type="paragraph" w:customStyle="1" w:styleId="StyleHeading2NotItalic">
    <w:name w:val="Style Heading 2 + Not Italic"/>
    <w:basedOn w:val="Heading2"/>
    <w:rsid w:val="005D08CC"/>
    <w:pPr>
      <w:numPr>
        <w:numId w:val="5"/>
      </w:numPr>
      <w:tabs>
        <w:tab w:val="num" w:pos="576"/>
      </w:tabs>
      <w:ind w:left="576" w:hanging="567"/>
      <w:jc w:val="both"/>
    </w:pPr>
    <w:rPr>
      <w:rFonts w:eastAsiaTheme="minorEastAsia" w:cstheme="minorBidi"/>
      <w:bCs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2C1606"/>
    <w:pPr>
      <w:spacing w:before="0" w:after="200"/>
      <w:contextualSpacing w:val="0"/>
      <w:jc w:val="center"/>
    </w:pPr>
    <w:rPr>
      <w:rFonts w:asciiTheme="minorHAnsi" w:eastAsiaTheme="minorEastAsia" w:hAnsiTheme="minorHAnsi" w:cstheme="minorBidi"/>
      <w:b/>
      <w:smallCaps/>
      <w:sz w:val="48"/>
      <w:szCs w:val="48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2C1606"/>
    <w:rPr>
      <w:rFonts w:asciiTheme="minorHAnsi" w:eastAsiaTheme="minorEastAsia" w:hAnsiTheme="minorHAnsi" w:cstheme="minorBidi"/>
      <w:b/>
      <w:smallCaps/>
      <w:sz w:val="48"/>
      <w:szCs w:val="48"/>
      <w:lang w:val="pt-PT" w:bidi="en-US"/>
    </w:rPr>
  </w:style>
  <w:style w:type="paragraph" w:styleId="EnvelopeReturn">
    <w:name w:val="envelope return"/>
    <w:basedOn w:val="Normal"/>
    <w:rsid w:val="002D41F0"/>
    <w:pPr>
      <w:spacing w:before="0" w:after="80"/>
      <w:contextualSpacing w:val="0"/>
      <w:jc w:val="left"/>
    </w:pPr>
    <w:rPr>
      <w:sz w:val="24"/>
    </w:rPr>
  </w:style>
  <w:style w:type="paragraph" w:styleId="ListParagraph">
    <w:name w:val="List Paragraph"/>
    <w:aliases w:val="List Paragraph (numbered (a)),Use Case List Paragraph,Heading 2_sj,Numbered Para 1,Dot pt,No Spacing1,List Paragraph Char Char Char,Indicator Text,List Paragraph1,Bullet Points,MAIN CONTENT,List Paragraph12,F5 List Paragraph,b1,P"/>
    <w:basedOn w:val="Normal"/>
    <w:link w:val="ListParagraphChar"/>
    <w:uiPriority w:val="34"/>
    <w:qFormat/>
    <w:rsid w:val="0085685E"/>
    <w:pPr>
      <w:spacing w:before="0"/>
      <w:ind w:left="720"/>
      <w:jc w:val="left"/>
    </w:pPr>
    <w:rPr>
      <w:rFonts w:ascii="Times New Roman" w:eastAsia="SimSun" w:hAnsi="Times New Roman"/>
      <w:sz w:val="24"/>
      <w:szCs w:val="24"/>
    </w:rPr>
  </w:style>
  <w:style w:type="character" w:customStyle="1" w:styleId="ListParagraphChar">
    <w:name w:val="List Paragraph Char"/>
    <w:aliases w:val="List Paragraph (numbered (a)) Char,Use Case List Paragraph Char,Heading 2_sj Char,Numbered Para 1 Char,Dot pt Char,No Spacing1 Char,List Paragraph Char Char Char Char,Indicator Text Char,List Paragraph1 Char,Bullet Points Char,P Char"/>
    <w:basedOn w:val="DefaultParagraphFont"/>
    <w:link w:val="ListParagraph"/>
    <w:uiPriority w:val="34"/>
    <w:qFormat/>
    <w:rsid w:val="0085685E"/>
    <w:rPr>
      <w:rFonts w:eastAsia="SimSun"/>
      <w:sz w:val="24"/>
      <w:szCs w:val="24"/>
      <w:lang w:val="pt-PT"/>
    </w:rPr>
  </w:style>
  <w:style w:type="character" w:customStyle="1" w:styleId="FootnoteTextChar">
    <w:name w:val="Footnote Text Char"/>
    <w:aliases w:val="single space Char,footnote text Char,Footnote Text Char1 Char Char,Footnote Text Char Char Char Char,ft Char,fn Char,FOOTNOTES Char, Char Char Char Char, Char Char Char1,ADB Char,WB-Fußnotentext Char,Footnote Char,Fußnote Char,f Char"/>
    <w:basedOn w:val="DefaultParagraphFont"/>
    <w:link w:val="FootnoteText"/>
    <w:uiPriority w:val="99"/>
    <w:rsid w:val="0085685E"/>
    <w:rPr>
      <w:rFonts w:ascii="Arial" w:hAnsi="Arial"/>
      <w:lang w:val="pt-PT"/>
    </w:rPr>
  </w:style>
  <w:style w:type="table" w:customStyle="1" w:styleId="TableGrid">
    <w:name w:val="TableGrid"/>
    <w:rsid w:val="00AD2397"/>
    <w:rPr>
      <w:rFonts w:asciiTheme="minorHAnsi" w:eastAsiaTheme="minorEastAsia" w:hAnsiTheme="minorHAnsi" w:cstheme="minorBidi"/>
      <w:sz w:val="22"/>
      <w:szCs w:val="22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">
    <w:name w:val="Style1"/>
    <w:basedOn w:val="TableNormal"/>
    <w:uiPriority w:val="99"/>
    <w:rsid w:val="00C25D48"/>
    <w:rPr>
      <w:rFonts w:asciiTheme="minorHAnsi" w:eastAsiaTheme="minorHAnsi" w:hAnsiTheme="minorHAnsi" w:cstheme="minorBidi"/>
      <w:sz w:val="22"/>
      <w:szCs w:val="22"/>
    </w:rPr>
    <w:tblPr>
      <w:tblStyleRowBandSize w:val="1"/>
    </w:tblPr>
  </w:style>
  <w:style w:type="character" w:styleId="PlaceholderText">
    <w:name w:val="Placeholder Text"/>
    <w:basedOn w:val="DefaultParagraphFont"/>
    <w:uiPriority w:val="99"/>
    <w:semiHidden/>
    <w:rsid w:val="00DA40C6"/>
    <w:rPr>
      <w:color w:val="808080"/>
    </w:rPr>
  </w:style>
  <w:style w:type="paragraph" w:customStyle="1" w:styleId="AppendixHeadingLevel1">
    <w:name w:val="Appendix Heading Level 1"/>
    <w:next w:val="Normal"/>
    <w:link w:val="AppendixHeadingLevel1Char"/>
    <w:uiPriority w:val="10"/>
    <w:qFormat/>
    <w:rsid w:val="00DA40C6"/>
    <w:pPr>
      <w:keepNext/>
      <w:pageBreakBefore/>
      <w:numPr>
        <w:numId w:val="8"/>
      </w:numPr>
      <w:spacing w:before="120" w:after="120" w:line="259" w:lineRule="auto"/>
      <w:ind w:left="431" w:hanging="431"/>
      <w:outlineLvl w:val="0"/>
    </w:pPr>
    <w:rPr>
      <w:rFonts w:ascii="Arial" w:hAnsi="Arial" w:cs="Arial"/>
      <w:bCs/>
      <w:color w:val="006BB7"/>
      <w:sz w:val="36"/>
      <w:szCs w:val="32"/>
    </w:rPr>
  </w:style>
  <w:style w:type="character" w:customStyle="1" w:styleId="AppendixHeadingLevel1Char">
    <w:name w:val="Appendix Heading Level 1 Char"/>
    <w:basedOn w:val="DefaultParagraphFont"/>
    <w:link w:val="AppendixHeadingLevel1"/>
    <w:uiPriority w:val="10"/>
    <w:rsid w:val="00DA40C6"/>
    <w:rPr>
      <w:rFonts w:ascii="Arial" w:hAnsi="Arial" w:cs="Arial"/>
      <w:bCs/>
      <w:color w:val="006BB7"/>
      <w:sz w:val="36"/>
      <w:szCs w:val="32"/>
      <w:lang w:val="pt-PT"/>
    </w:rPr>
  </w:style>
  <w:style w:type="paragraph" w:customStyle="1" w:styleId="AppendixHeadingLevel2">
    <w:name w:val="Appendix Heading Level 2"/>
    <w:basedOn w:val="Heading2"/>
    <w:next w:val="Normal"/>
    <w:uiPriority w:val="10"/>
    <w:qFormat/>
    <w:rsid w:val="00DA40C6"/>
    <w:pPr>
      <w:numPr>
        <w:numId w:val="8"/>
      </w:numPr>
      <w:tabs>
        <w:tab w:val="clear" w:pos="0"/>
      </w:tabs>
      <w:spacing w:before="240" w:after="120"/>
    </w:pPr>
    <w:rPr>
      <w:rFonts w:cs="Arial"/>
      <w:b w:val="0"/>
      <w:bCs/>
      <w:iCs/>
      <w:color w:val="006BB7"/>
      <w:sz w:val="32"/>
      <w:szCs w:val="28"/>
    </w:rPr>
  </w:style>
  <w:style w:type="paragraph" w:customStyle="1" w:styleId="AppendixHeadingLevel3">
    <w:name w:val="Appendix Heading Level 3"/>
    <w:basedOn w:val="Heading3"/>
    <w:next w:val="Normal"/>
    <w:uiPriority w:val="10"/>
    <w:qFormat/>
    <w:rsid w:val="00DA40C6"/>
    <w:pPr>
      <w:numPr>
        <w:numId w:val="8"/>
      </w:numPr>
      <w:tabs>
        <w:tab w:val="clear" w:pos="992"/>
      </w:tabs>
      <w:spacing w:before="120" w:after="120" w:line="305" w:lineRule="auto"/>
      <w:ind w:left="612" w:hanging="612"/>
    </w:pPr>
    <w:rPr>
      <w:rFonts w:cs="Arial"/>
      <w:bCs/>
      <w:color w:val="006BB7"/>
      <w:sz w:val="24"/>
      <w:szCs w:val="26"/>
    </w:rPr>
  </w:style>
  <w:style w:type="paragraph" w:customStyle="1" w:styleId="AppendixHeadingLevel4">
    <w:name w:val="Appendix Heading Level 4"/>
    <w:basedOn w:val="AppendixHeadingLevel3"/>
    <w:next w:val="Normal"/>
    <w:uiPriority w:val="10"/>
    <w:qFormat/>
    <w:rsid w:val="00DA40C6"/>
    <w:pPr>
      <w:numPr>
        <w:ilvl w:val="3"/>
      </w:numPr>
      <w:tabs>
        <w:tab w:val="left" w:pos="993"/>
      </w:tabs>
      <w:spacing w:before="40" w:line="259" w:lineRule="auto"/>
      <w:ind w:left="862" w:hanging="862"/>
      <w:outlineLvl w:val="3"/>
    </w:pPr>
    <w:rPr>
      <w:sz w:val="20"/>
    </w:rPr>
  </w:style>
  <w:style w:type="paragraph" w:customStyle="1" w:styleId="AppendixHeadingLevel5">
    <w:name w:val="Appendix Heading Level 5"/>
    <w:basedOn w:val="AppendixHeadingLevel4"/>
    <w:next w:val="Normal"/>
    <w:uiPriority w:val="10"/>
    <w:unhideWhenUsed/>
    <w:qFormat/>
    <w:rsid w:val="00DA40C6"/>
    <w:pPr>
      <w:numPr>
        <w:ilvl w:val="4"/>
      </w:numPr>
      <w:tabs>
        <w:tab w:val="clear" w:pos="993"/>
        <w:tab w:val="num" w:pos="360"/>
        <w:tab w:val="left" w:pos="1134"/>
      </w:tabs>
      <w:ind w:left="1134" w:hanging="1134"/>
      <w:outlineLvl w:val="4"/>
    </w:pPr>
    <w:rPr>
      <w:b/>
      <w:bCs w:val="0"/>
      <w:i/>
      <w:iCs/>
      <w:color w:val="auto"/>
    </w:rPr>
  </w:style>
  <w:style w:type="character" w:styleId="Strong">
    <w:name w:val="Strong"/>
    <w:basedOn w:val="DefaultParagraphFont"/>
    <w:uiPriority w:val="22"/>
    <w:qFormat/>
    <w:rsid w:val="001657D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C58A5"/>
    <w:pPr>
      <w:spacing w:before="100" w:beforeAutospacing="1" w:after="100" w:afterAutospacing="1"/>
      <w:contextualSpacing w:val="0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7DB5"/>
    <w:rPr>
      <w:color w:val="605E5C"/>
      <w:shd w:val="clear" w:color="auto" w:fill="E1DFDD"/>
    </w:rPr>
  </w:style>
  <w:style w:type="paragraph" w:customStyle="1" w:styleId="Default">
    <w:name w:val="Default"/>
    <w:rsid w:val="005A5D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7C4A86"/>
    <w:rPr>
      <w:rFonts w:ascii="Arial" w:hAnsi="Arial"/>
      <w:lang w:val="pt-PT"/>
    </w:rPr>
  </w:style>
  <w:style w:type="character" w:styleId="Emphasis">
    <w:name w:val="Emphasis"/>
    <w:basedOn w:val="DefaultParagraphFont"/>
    <w:qFormat/>
    <w:rsid w:val="00CC0AED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640647"/>
    <w:pPr>
      <w:keepLines/>
      <w:numPr>
        <w:numId w:val="0"/>
      </w:numPr>
      <w:tabs>
        <w:tab w:val="clear" w:pos="0"/>
      </w:tabs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654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3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0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pp.co.zw/sites/default/files/Sapp%20Annual%20Report%2020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Taxonomy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Project Document</TermName>
          <TermId xmlns="http://schemas.microsoft.com/office/infopath/2007/PartnerControls">df098213-6b74-42fc-9316-2f1a9531d8f9</TermId>
        </TermInfo>
      </Terms>
    </Document_x0020_TypeTaxonomyTaxHTField0>
    <Document_x0020_Comments xmlns="http://schemas.microsoft.com/sharepoint/v3" xsi:nil="true"/>
    <Authors xmlns="http://schemas.microsoft.com/sharepoint/v3">
      <UserInfo>
        <DisplayName>Hedgecock, Jonathan</DisplayName>
        <AccountId>18</AccountId>
        <AccountType/>
      </UserInfo>
      <UserInfo>
        <DisplayName>Newton, Claire</DisplayName>
        <AccountId>21</AccountId>
        <AccountType/>
      </UserInfo>
      <UserInfo>
        <DisplayName>Kiarsi, Sepideh</DisplayName>
        <AccountId>56</AccountId>
        <AccountType/>
      </UserInfo>
      <UserInfo>
        <DisplayName>Kiarsi, Sepideh</DisplayName>
        <AccountId>56</AccountId>
        <AccountType/>
      </UserInfo>
    </Authors>
    <R-DivisionTaxonomy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Ricardo EE</TermName>
          <TermId xmlns="http://schemas.microsoft.com/office/infopath/2007/PartnerControls">865690f3-738b-419b-b41d-e464f9906df7</TermId>
        </TermInfo>
      </Terms>
    </R-DivisionTaxonomyTaxHTField0>
    <Project_x0020_Number xmlns="http://schemas.microsoft.com/sharepoint/v3">ED14828</Project_x0020_Number>
    <Document_x0020_Approver xmlns="http://schemas.microsoft.com/sharepoint/v3">
      <UserInfo>
        <DisplayName/>
        <AccountId xsi:nil="true"/>
        <AccountType/>
      </UserInfo>
    </Document_x0020_Approver>
    <R_x002d_KeywordsTaxonomyTaxHTField0 xmlns="http://schemas.microsoft.com/sharepoint/v3">
      <Terms xmlns="http://schemas.microsoft.com/office/infopath/2007/PartnerControls"/>
    </R_x002d_KeywordsTaxonomyTaxHTField0>
    <HideEverything xmlns="31694f11-635f-4b4d-a03d-a4ecc58e6899" xsi:nil="true"/>
    <BusinessAreaTaxonomy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IAU-Energy Power Planning ＆ Solutions</TermName>
          <TermId xmlns="http://schemas.microsoft.com/office/infopath/2007/PartnerControls">3109eaec-3641-4f6e-8645-3cdd61ef30c0</TermId>
        </TermInfo>
      </Terms>
    </BusinessAreaTaxonomyTaxHTField0>
    <TaxCatchAll xmlns="75975772-6a6d-4c16-8090-d45d9e29473d">
      <Value>12</Value>
      <Value>4</Value>
      <Value>3</Value>
      <Value>1</Value>
      <Value>5</Value>
    </TaxCatchAll>
    <AuthoredByCustomer xmlns="fa246daf-a2a1-4f21-bde3-dc17c00a5b4c">false</AuthoredByCustomer>
    <Document_x0020_Reference xmlns="http://schemas.microsoft.com/sharepoint/v3" xsi:nil="true"/>
    <RootDocumentReference xmlns="http://schemas.microsoft.com/sharepoint/v3" xsi:nil="true"/>
    <R-DivisionPolicyTaxonomy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Ricardo Energy ＆ Environment</TermName>
          <TermId xmlns="http://schemas.microsoft.com/office/infopath/2007/PartnerControls">291a8f75-3ce5-4629-b77a-f5136efa727d</TermId>
        </TermInfo>
      </Terms>
    </R-DivisionPolicyTaxonomyTaxHTField0>
    <Authoring_x0020_Departments xmlns="fa246daf-a2a1-4f21-bde3-dc17c00a5b4c">
      <Value>REE - Sustainable Infrastructure &amp; Ops</Value>
    </Authoring_x0020_Departments>
    <Issued_x0020_Date xmlns="fa246daf-a2a1-4f21-bde3-dc17c00a5b4c" xsi:nil="true"/>
    <Folder_x0020_Structure xmlns="http://schemas.microsoft.com/sharepoint/v3">&lt;a href="/projects/ED14828/Documents"&gt;Documents&lt;/a&gt; &amp;gt; &lt;a href="/projects/ED14828/Documents/3%20Project%20delivery"&gt;3 Project delivery&lt;/a&gt; &amp;gt; &lt;a href="/projects/ED14828/Documents/3%20Project%20delivery/Task%204%20RGC%20drafting"&gt;Task 4 RGC drafting&lt;/a&gt; &amp;gt; &lt;a href="/projects/ED14828/Documents/3%20Project%20delivery/Task%204%20RGC%20drafting/Translations"&gt;Translations&lt;/a&gt; &amp;gt; &lt;a href="/projects/ED14828/Documents/3%20Project%20delivery/Task%204%20RGC%20drafting/Translations/Portuguese%20SADC%20RGC"&gt;Portuguese SADC RGC&lt;/a&gt;</Folder_x0020_Structure>
    <Document_x0020_Status xmlns="fa246daf-a2a1-4f21-bde3-dc17c00a5b4c">Draft</Document_x0020_Status>
    <Document_x0020_Issued xmlns="fa246daf-a2a1-4f21-bde3-dc17c00a5b4c">No</Document_x0020_Issued>
    <Generate_x0020_Keywords xmlns="fa246daf-a2a1-4f21-bde3-dc17c00a5b4c">false</Generate_x0020_Keywords>
    <Market_x0020_SectorTaxonomyTaxHTField0 xmlns="http://schemas.microsoft.com/sharepoint/v3">
      <Terms xmlns="http://schemas.microsoft.com/office/infopath/2007/PartnerControls"/>
    </Market_x0020_SectorTaxonomyTaxHTField0>
    <KeyDocument xmlns="fa246daf-a2a1-4f21-bde3-dc17c00a5b4c">false</KeyDocument>
    <AgressoCustomerTaxonomy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Southern African Power Pool (SAPP)</TermName>
          <TermId xmlns="http://schemas.microsoft.com/office/infopath/2007/PartnerControls">e03e47f9-f0e0-4b79-834c-af2435f80c70</TermId>
        </TermInfo>
      </Terms>
    </AgressoCustomerTaxonomyTaxHTField0>
    <ApprovalRecordedBy xmlns="http://schemas.microsoft.com/sharepoint/v3">
      <UserInfo>
        <DisplayName/>
        <AccountId xsi:nil="true"/>
        <AccountType/>
      </UserInfo>
    </ApprovalRecordedBy>
    <Version_x0020_No xmlns="http://schemas.microsoft.com/sharepoint/v3">0.2</Version_x0020_N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SharedContentType xmlns="Microsoft.SharePoint.Taxonomy.ContentTypeSync" SourceId="02677147-8018-48bf-96e8-39add3f86844" ContentTypeId="0x010100A1A26C4BCFF240D5BC273ED44781910B" PreviousValue="tru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EE Project Document" ma:contentTypeID="0x010100A1A26C4BCFF240D5BC273ED44781910B00B00B20F78B4C9747B15750D641297880" ma:contentTypeVersion="18" ma:contentTypeDescription="REE Project Document" ma:contentTypeScope="" ma:versionID="9ed8f091305cfe0fa958168e6d650c0c">
  <xsd:schema xmlns:xsd="http://www.w3.org/2001/XMLSchema" xmlns:xs="http://www.w3.org/2001/XMLSchema" xmlns:p="http://schemas.microsoft.com/office/2006/metadata/properties" xmlns:ns1="http://schemas.microsoft.com/sharepoint/v3" xmlns:ns2="75975772-6a6d-4c16-8090-d45d9e29473d" xmlns:ns3="fa246daf-a2a1-4f21-bde3-dc17c00a5b4c" xmlns:ns4="31694f11-635f-4b4d-a03d-a4ecc58e6899" targetNamespace="http://schemas.microsoft.com/office/2006/metadata/properties" ma:root="true" ma:fieldsID="0e7afe7c551501d8973a42f34c4805ab" ns1:_="" ns2:_="" ns3:_="" ns4:_="">
    <xsd:import namespace="http://schemas.microsoft.com/sharepoint/v3"/>
    <xsd:import namespace="75975772-6a6d-4c16-8090-d45d9e29473d"/>
    <xsd:import namespace="fa246daf-a2a1-4f21-bde3-dc17c00a5b4c"/>
    <xsd:import namespace="31694f11-635f-4b4d-a03d-a4ecc58e689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Document_x0020_TypeTaxonomyTaxHTField0" minOccurs="0"/>
                <xsd:element ref="ns1:R_x002d_KeywordsTaxonomyTaxHTField0" minOccurs="0"/>
                <xsd:element ref="ns3:Generate_x0020_Keywords" minOccurs="0"/>
                <xsd:element ref="ns1:Project_x0020_Number" minOccurs="0"/>
                <xsd:element ref="ns1:AgressoCustomerTaxonomyTaxHTField0" minOccurs="0"/>
                <xsd:element ref="ns1:BusinessAreaTaxonomyTaxHTField0" minOccurs="0"/>
                <xsd:element ref="ns1:R-DivisionPolicyTaxonomyTaxHTField0" minOccurs="0"/>
                <xsd:element ref="ns1:Market_x0020_SectorTaxonomyTaxHTField0" minOccurs="0"/>
                <xsd:element ref="ns1:Document_x0020_Comments" minOccurs="0"/>
                <xsd:element ref="ns1:Folder_x0020_Structure" minOccurs="0"/>
                <xsd:element ref="ns2:TaxCatchAll" minOccurs="0"/>
                <xsd:element ref="ns2:TaxCatchAllLabel" minOccurs="0"/>
                <xsd:element ref="ns1:FileExtension" minOccurs="0"/>
                <xsd:element ref="ns3:KeyDocument" minOccurs="0"/>
                <xsd:element ref="ns3:AuthoredByCustomer" minOccurs="0"/>
                <xsd:element ref="ns1:Authors" minOccurs="0"/>
                <xsd:element ref="ns3:Authoring_x0020_Departments" minOccurs="0"/>
                <xsd:element ref="ns3:Document_x0020_Issued" minOccurs="0"/>
                <xsd:element ref="ns1:Document_x0020_Reference" minOccurs="0"/>
                <xsd:element ref="ns1:RootDocumentReference" minOccurs="0"/>
                <xsd:element ref="ns3:Issued_x0020_Date" minOccurs="0"/>
                <xsd:element ref="ns3:Document_x0020_Status" minOccurs="0"/>
                <xsd:element ref="ns1:Document_x0020_Approver" minOccurs="0"/>
                <xsd:element ref="ns1:ApprovalRecordedBy" minOccurs="0"/>
                <xsd:element ref="ns1:Version_x0020_No" minOccurs="0"/>
                <xsd:element ref="ns1:R-DivisionTaxonomyTaxHTField0" minOccurs="0"/>
                <xsd:element ref="ns4:HideEveryth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_x0020_TypeTaxonomyTaxHTField0" ma:index="12" ma:taxonomy="true" ma:internalName="Document_x0020_TypeTaxonomyTaxHTField0" ma:taxonomyFieldName="Document_x0020_Type" ma:displayName="Document Type" ma:default="1;#Project Document|df098213-6b74-42fc-9316-2f1a9531d8f9" ma:fieldId="{fd31b5d2-9459-4462-9e35-c51176d55d6c}" ma:sspId="02677147-8018-48bf-96e8-39add3f86844" ma:termSetId="80de7132-7744-4fa5-9cb1-6eeaa76d32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_x002d_KeywordsTaxonomyTaxHTField0" ma:index="14" nillable="true" ma:taxonomy="true" ma:internalName="R_x002d_KeywordsTaxonomyTaxHTField0" ma:taxonomyFieldName="R_x002d_Keywords" ma:displayName="R-Keywords" ma:fieldId="{1c42c021-f3aa-43e0-98ca-6790571791a9}" ma:sspId="02677147-8018-48bf-96e8-39add3f86844" ma:termSetId="3101ac92-b66e-4a17-9ea7-0976b491e8e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0_Number" ma:index="16" nillable="true" ma:displayName="Project Number" ma:internalName="Project_x0020_Number">
      <xsd:simpleType>
        <xsd:restriction base="dms:Text"/>
      </xsd:simpleType>
    </xsd:element>
    <xsd:element name="AgressoCustomerTaxonomyTaxHTField0" ma:index="18" nillable="true" ma:taxonomy="true" ma:internalName="AgressoCustomerTaxonomyTaxHTField0" ma:taxonomyFieldName="AgressoCustomer" ma:displayName="Customer" ma:fieldId="{1d3b52e4-1af7-4246-9c35-147842386b6c}" ma:sspId="02677147-8018-48bf-96e8-39add3f86844" ma:termSetId="923cec87-5f7b-42ba-9a57-d5efa69a4b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usinessAreaTaxonomyTaxHTField0" ma:index="20" nillable="true" ma:taxonomy="true" ma:internalName="BusinessAreaTaxonomyTaxHTField0" ma:taxonomyFieldName="BusinessArea" ma:displayName="Business Area" ma:fieldId="{4d2c5a62-cace-44d5-a5f6-13d3bee16938}" ma:sspId="02677147-8018-48bf-96e8-39add3f86844" ma:termSetId="b135ba22-1eea-4fc3-9293-1752ba7ea5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-DivisionPolicyTaxonomyTaxHTField0" ma:index="22" nillable="true" ma:taxonomy="true" ma:internalName="R_x002d_DivisionPolicyTaxonomyTaxHTField0" ma:taxonomyFieldName="R_x002d_DivisionPolicy" ma:displayName="Division" ma:fieldId="{50ad19bc-2508-45c6-bb4f-781576d44aa2}" ma:sspId="02677147-8018-48bf-96e8-39add3f86844" ma:termSetId="f724f16d-ce9a-4784-adab-f98a1fd9d8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rket_x0020_SectorTaxonomyTaxHTField0" ma:index="25" nillable="true" ma:taxonomy="true" ma:internalName="Market_x0020_SectorTaxonomyTaxHTField0" ma:taxonomyFieldName="Market_x0020_Sector" ma:displayName="Market Sector" ma:fieldId="{91294c4a-0fea-4059-9ad9-cccc9ef86cba}" ma:sspId="02677147-8018-48bf-96e8-39add3f86844" ma:termSetId="08cfdd10-ef36-4030-98be-25f6a603bd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_x0020_Comments" ma:index="26" nillable="true" ma:displayName="Document Comments" ma:internalName="Document_x0020_Comments">
      <xsd:simpleType>
        <xsd:restriction base="dms:Note">
          <xsd:maxLength value="255"/>
        </xsd:restriction>
      </xsd:simpleType>
    </xsd:element>
    <xsd:element name="Folder_x0020_Structure" ma:index="27" nillable="true" ma:displayName="Folder Structure" ma:internalName="Folder_x0020_Structure">
      <xsd:simpleType>
        <xsd:restriction base="dms:Note"/>
      </xsd:simpleType>
    </xsd:element>
    <xsd:element name="FileExtension" ma:index="30" nillable="true" ma:displayName="File Extension" ma:internalName="FileExtension" ma:readOnly="true">
      <xsd:simpleType>
        <xsd:restriction base="dms:Text"/>
      </xsd:simpleType>
    </xsd:element>
    <xsd:element name="Authors" ma:index="33" nillable="true" ma:displayName="Authors" ma:internalName="Autho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Reference" ma:index="36" nillable="true" ma:displayName="Document Reference" ma:indexed="true" ma:internalName="Document_x0020_Reference">
      <xsd:simpleType>
        <xsd:restriction base="dms:Text"/>
      </xsd:simpleType>
    </xsd:element>
    <xsd:element name="RootDocumentReference" ma:index="37" nillable="true" ma:displayName="Root Document Reference" ma:indexed="true" ma:internalName="RootDocumentReference">
      <xsd:simpleType>
        <xsd:restriction base="dms:Text"/>
      </xsd:simpleType>
    </xsd:element>
    <xsd:element name="Document_x0020_Approver" ma:index="40" nillable="true" ma:displayName="Document Approver" ma:internalName="Document_x0020_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RecordedBy" ma:index="41" nillable="true" ma:displayName="Approval Recorded By" ma:internalName="ApprovalRecord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rsion_x0020_No" ma:index="42" nillable="true" ma:displayName="Version No" ma:internalName="Version_x0020_No" ma:readOnly="true">
      <xsd:simpleType>
        <xsd:restriction base="dms:Text"/>
      </xsd:simpleType>
    </xsd:element>
    <xsd:element name="R-DivisionTaxonomyTaxHTField0" ma:index="43" nillable="true" ma:taxonomy="true" ma:internalName="R_x002d_DivisionTaxonomyTaxHTField0" ma:taxonomyFieldName="R_x002d_Division" ma:displayName="Company" ma:fieldId="{a0b740e5-6a48-43d1-aea4-81fb22ff6c26}" ma:sspId="02677147-8018-48bf-96e8-39add3f86844" ma:termSetId="916500c3-4c6e-47cd-8039-34f4c1f6d9a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75772-6a6d-4c16-8090-d45d9e29473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41142099-c441-46dd-a10b-40c308ff7ef9}" ma:internalName="TaxCatchAll" ma:showField="CatchAllData" ma:web="fa246daf-a2a1-4f21-bde3-dc17c00a5b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hidden="true" ma:list="{41142099-c441-46dd-a10b-40c308ff7ef9}" ma:internalName="TaxCatchAllLabel" ma:readOnly="true" ma:showField="CatchAllDataLabel" ma:web="fa246daf-a2a1-4f21-bde3-dc17c00a5b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46daf-a2a1-4f21-bde3-dc17c00a5b4c" elementFormDefault="qualified">
    <xsd:import namespace="http://schemas.microsoft.com/office/2006/documentManagement/types"/>
    <xsd:import namespace="http://schemas.microsoft.com/office/infopath/2007/PartnerControls"/>
    <xsd:element name="Generate_x0020_Keywords" ma:index="15" nillable="true" ma:displayName="Generate Keywords" ma:default="1" ma:internalName="Generate_x0020_Keywords">
      <xsd:simpleType>
        <xsd:restriction base="dms:Boolean"/>
      </xsd:simpleType>
    </xsd:element>
    <xsd:element name="KeyDocument" ma:index="31" nillable="true" ma:displayName="Key Document" ma:default="0" ma:internalName="KeyDocument">
      <xsd:simpleType>
        <xsd:restriction base="dms:Boolean"/>
      </xsd:simpleType>
    </xsd:element>
    <xsd:element name="AuthoredByCustomer" ma:index="32" nillable="true" ma:displayName="Authored By Customer" ma:default="0" ma:internalName="AuthoredByCustomer">
      <xsd:simpleType>
        <xsd:restriction base="dms:Boolean"/>
      </xsd:simpleType>
    </xsd:element>
    <xsd:element name="Authoring_x0020_Departments" ma:index="34" nillable="true" ma:displayName="Authoring Departments" ma:internalName="Authoring_x0020_Departmen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o Departmen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Document_x0020_Issued" ma:index="35" nillable="true" ma:displayName="Document Issued" ma:internalName="Document_x0020_Issued">
      <xsd:simpleType>
        <xsd:restriction base="dms:Choice">
          <xsd:enumeration value="Yes"/>
          <xsd:enumeration value="No"/>
        </xsd:restriction>
      </xsd:simpleType>
    </xsd:element>
    <xsd:element name="Issued_x0020_Date" ma:index="38" nillable="true" ma:displayName="Issued Date" ma:format="DateOnly" ma:internalName="Issued_x0020_Date">
      <xsd:simpleType>
        <xsd:restriction base="dms:DateTime"/>
      </xsd:simpleType>
    </xsd:element>
    <xsd:element name="Document_x0020_Status" ma:index="39" nillable="true" ma:displayName="Document Status" ma:internalName="Document_x0020_Status">
      <xsd:simpleType>
        <xsd:restriction base="dms:Choice">
          <xsd:enumeration value="Approved"/>
          <xsd:enumeration value="Draf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94f11-635f-4b4d-a03d-a4ecc58e6899" elementFormDefault="qualified">
    <xsd:import namespace="http://schemas.microsoft.com/office/2006/documentManagement/types"/>
    <xsd:import namespace="http://schemas.microsoft.com/office/infopath/2007/PartnerControls"/>
    <xsd:element name="HideEverything" ma:index="44" nillable="true" ma:displayName="HideEverything" ma:internalName="HideEverything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C5678-1C06-417F-98A8-774C4E1ABA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1694f11-635f-4b4d-a03d-a4ecc58e6899"/>
    <ds:schemaRef ds:uri="75975772-6a6d-4c16-8090-d45d9e29473d"/>
    <ds:schemaRef ds:uri="fa246daf-a2a1-4f21-bde3-dc17c00a5b4c"/>
  </ds:schemaRefs>
</ds:datastoreItem>
</file>

<file path=customXml/itemProps2.xml><?xml version="1.0" encoding="utf-8"?>
<ds:datastoreItem xmlns:ds="http://schemas.openxmlformats.org/officeDocument/2006/customXml" ds:itemID="{B6E2622F-CAAD-4097-B80D-5C809DBC3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3CC95B-915C-4608-8F36-AE07C2A6F97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889B0CC-6D6E-4F2D-9CC4-9983372C548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7A33164-B357-4B81-B50C-68F16F3DE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975772-6a6d-4c16-8090-d45d9e29473d"/>
    <ds:schemaRef ds:uri="fa246daf-a2a1-4f21-bde3-dc17c00a5b4c"/>
    <ds:schemaRef ds:uri="31694f11-635f-4b4d-a03d-a4ecc58e6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8A3E610-7651-41BD-A1D2-5B924433C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15</Pages>
  <Words>3594</Words>
  <Characters>19719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GMS Regional Grid Code</vt:lpstr>
    </vt:vector>
  </TitlesOfParts>
  <Company>RPTCC</Company>
  <LinksUpToDate>false</LinksUpToDate>
  <CharactersWithSpaces>23267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GMS Regional Grid Code</dc:title>
  <dc:creator>Graeme.Chown@ricardo.com</dc:creator>
  <cp:lastModifiedBy>Pedro Lusakalalu</cp:lastModifiedBy>
  <cp:revision>2</cp:revision>
  <cp:lastPrinted>2017-09-29T02:01:00Z</cp:lastPrinted>
  <dcterms:created xsi:type="dcterms:W3CDTF">2022-02-27T06:03:00Z</dcterms:created>
  <dcterms:modified xsi:type="dcterms:W3CDTF">2022-02-27T06:03:00Z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0x010100A1A26C4BCFF240D5BC273ED44781910B00B00B20F78B4C9747B15750D641297880</vt:lpwstr>
  </property>
  <property fmtid="{D5CDD505-2E9C-101B-9397-08002B2CF9AE}" pid="3" name="BusinessArea">
    <vt:lpwstr>5;#IAU-Energy Power Planning ＆ Solutions|3109eaec-3641-4f6e-8645-3cdd61ef30c0</vt:lpwstr>
  </property>
  <property fmtid="{D5CDD505-2E9C-101B-9397-08002B2CF9AE}" pid="4" name="R-Division">
    <vt:lpwstr>4;#Ricardo EE|865690f3-738b-419b-b41d-e464f9906df7</vt:lpwstr>
  </property>
  <property fmtid="{D5CDD505-2E9C-101B-9397-08002B2CF9AE}" pid="5" name="R-DivisionPolicy">
    <vt:lpwstr>3;#Ricardo Energy ＆ Environment|291a8f75-3ce5-4629-b77a-f5136efa727d</vt:lpwstr>
  </property>
  <property fmtid="{D5CDD505-2E9C-101B-9397-08002B2CF9AE}" pid="6" name="R-Keywords">
    <vt:lpwstr/>
  </property>
  <property fmtid="{D5CDD505-2E9C-101B-9397-08002B2CF9AE}" pid="7" name="Document Type">
    <vt:lpwstr>1</vt:lpwstr>
  </property>
  <property fmtid="{D5CDD505-2E9C-101B-9397-08002B2CF9AE}" pid="8" name="AgressoCustomer">
    <vt:lpwstr>12;#Southern African Power Pool (SAPP)|e03e47f9-f0e0-4b79-834c-af2435f80c70</vt:lpwstr>
  </property>
</Properties>
</file>